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78F" w:rsidRPr="00B750E1" w:rsidRDefault="00CE678F" w:rsidP="00CE678F">
      <w:pPr>
        <w:spacing w:after="0" w:line="240" w:lineRule="auto"/>
        <w:jc w:val="center"/>
        <w:rPr>
          <w:rFonts w:cs="Times New Roman"/>
          <w:b/>
          <w:iCs/>
          <w:color w:val="000000" w:themeColor="text1"/>
          <w:szCs w:val="28"/>
        </w:rPr>
      </w:pPr>
      <w:r w:rsidRPr="00B750E1">
        <w:rPr>
          <w:rFonts w:cs="Times New Roman"/>
          <w:b/>
          <w:iCs/>
          <w:color w:val="000000" w:themeColor="text1"/>
          <w:szCs w:val="28"/>
        </w:rPr>
        <w:t>Phụ lục III</w:t>
      </w:r>
    </w:p>
    <w:p w:rsidR="00CE678F" w:rsidRPr="00B750E1" w:rsidRDefault="00CE678F" w:rsidP="00CE678F">
      <w:pPr>
        <w:spacing w:after="0" w:line="240" w:lineRule="auto"/>
        <w:jc w:val="center"/>
        <w:rPr>
          <w:rFonts w:ascii="Times New Roman Bold" w:hAnsi="Times New Roman Bold" w:cs="Times New Roman"/>
          <w:b/>
          <w:iCs/>
          <w:color w:val="000000" w:themeColor="text1"/>
          <w:spacing w:val="-8"/>
          <w:szCs w:val="28"/>
        </w:rPr>
      </w:pPr>
      <w:r w:rsidRPr="00B750E1">
        <w:rPr>
          <w:rFonts w:ascii="Times New Roman Bold" w:hAnsi="Times New Roman Bold" w:cs="Times New Roman"/>
          <w:b/>
          <w:iCs/>
          <w:color w:val="000000" w:themeColor="text1"/>
          <w:spacing w:val="-8"/>
          <w:szCs w:val="28"/>
        </w:rPr>
        <w:t xml:space="preserve">KẾT QUẢ XỬ LÝ KIẾN NGHỊ </w:t>
      </w:r>
      <w:bookmarkStart w:id="0" w:name="_GoBack"/>
      <w:bookmarkEnd w:id="0"/>
      <w:r w:rsidRPr="00B750E1">
        <w:rPr>
          <w:rFonts w:ascii="Times New Roman Bold" w:hAnsi="Times New Roman Bold" w:cs="Times New Roman"/>
          <w:b/>
          <w:iCs/>
          <w:color w:val="000000" w:themeColor="text1"/>
          <w:spacing w:val="-8"/>
          <w:szCs w:val="28"/>
        </w:rPr>
        <w:t>TẠI CÔNG VĂN SỐ 1921/LĐTM-PC NGÀY 04/9/2026 CỦA LIÊN ĐOÀN THƯƠNG MẠI VÀ CÔNG NGHIỆP VIỆT NAM (VCCI)</w:t>
      </w:r>
    </w:p>
    <w:p w:rsidR="00CE678F" w:rsidRPr="00B750E1" w:rsidRDefault="00CE678F" w:rsidP="00CE678F">
      <w:pPr>
        <w:spacing w:after="0" w:line="240" w:lineRule="auto"/>
        <w:jc w:val="center"/>
        <w:rPr>
          <w:rFonts w:cs="Times New Roman"/>
          <w:i/>
          <w:iCs/>
          <w:color w:val="000000" w:themeColor="text1"/>
          <w:sz w:val="20"/>
          <w:szCs w:val="20"/>
        </w:rPr>
      </w:pPr>
      <w:r w:rsidRPr="00B750E1">
        <w:rPr>
          <w:rFonts w:cs="Times New Roman"/>
          <w:i/>
          <w:iCs/>
          <w:color w:val="000000" w:themeColor="text1"/>
          <w:sz w:val="20"/>
          <w:szCs w:val="20"/>
        </w:rPr>
        <w:t xml:space="preserve"> (06 NỘI DUNG)</w:t>
      </w:r>
    </w:p>
    <w:p w:rsidR="00CE678F" w:rsidRPr="00B750E1" w:rsidRDefault="00CE678F" w:rsidP="00CE678F">
      <w:pPr>
        <w:spacing w:after="0" w:line="240" w:lineRule="auto"/>
        <w:jc w:val="center"/>
        <w:rPr>
          <w:rFonts w:cs="Times New Roman"/>
          <w:i/>
          <w:iCs/>
          <w:color w:val="000000" w:themeColor="text1"/>
          <w:sz w:val="20"/>
          <w:szCs w:val="20"/>
        </w:rPr>
      </w:pPr>
    </w:p>
    <w:tbl>
      <w:tblPr>
        <w:tblW w:w="15129"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873"/>
        <w:gridCol w:w="1105"/>
        <w:gridCol w:w="3851"/>
        <w:gridCol w:w="3111"/>
        <w:gridCol w:w="1823"/>
        <w:gridCol w:w="2622"/>
      </w:tblGrid>
      <w:tr w:rsidR="00CE678F" w:rsidRPr="00B750E1" w:rsidTr="00CE678F">
        <w:trPr>
          <w:trHeight w:val="390"/>
          <w:tblHeader/>
        </w:trPr>
        <w:tc>
          <w:tcPr>
            <w:tcW w:w="744" w:type="dxa"/>
            <w:vMerge w:val="restart"/>
            <w:shd w:val="clear" w:color="FFFFFF" w:fill="FFFFFF"/>
            <w:noWrap/>
            <w:vAlign w:val="center"/>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STT</w:t>
            </w:r>
          </w:p>
        </w:tc>
        <w:tc>
          <w:tcPr>
            <w:tcW w:w="9940" w:type="dxa"/>
            <w:gridSpan w:val="4"/>
            <w:shd w:val="clear" w:color="FFFFFF" w:fill="FFFFFF"/>
          </w:tcPr>
          <w:p w:rsidR="00CE678F" w:rsidRPr="00B750E1" w:rsidRDefault="00CE678F" w:rsidP="00CE678F">
            <w:pPr>
              <w:spacing w:before="120" w:after="0" w:line="240" w:lineRule="auto"/>
              <w:jc w:val="center"/>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NỘI DUNG DOANH NGHIỆP, HIỆP HỘI PHẢN ÁNH,  ĐỀ XUẤT</w:t>
            </w:r>
          </w:p>
        </w:tc>
        <w:tc>
          <w:tcPr>
            <w:tcW w:w="1823" w:type="dxa"/>
            <w:vMerge w:val="restart"/>
            <w:shd w:val="clear" w:color="FFFFFF" w:fill="FFFFFF"/>
            <w:noWrap/>
            <w:vAlign w:val="center"/>
          </w:tcPr>
          <w:p w:rsidR="00CE678F" w:rsidRPr="00B750E1" w:rsidRDefault="00CE678F" w:rsidP="00CE678F">
            <w:pPr>
              <w:spacing w:after="0" w:line="240" w:lineRule="auto"/>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Văn bản quy phạm pháp luật liên quan (nếu có)</w:t>
            </w:r>
          </w:p>
        </w:tc>
        <w:tc>
          <w:tcPr>
            <w:tcW w:w="2622" w:type="dxa"/>
            <w:vMerge w:val="restart"/>
            <w:shd w:val="clear" w:color="FFFFFF" w:fill="FFFFFF"/>
          </w:tcPr>
          <w:p w:rsidR="00CE678F" w:rsidRPr="00B750E1" w:rsidRDefault="00CE678F" w:rsidP="00CE678F">
            <w:pPr>
              <w:spacing w:before="480" w:after="0" w:line="240" w:lineRule="auto"/>
              <w:jc w:val="center"/>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Tình hình xử lý kiến nghị</w:t>
            </w:r>
          </w:p>
        </w:tc>
      </w:tr>
      <w:tr w:rsidR="00CE678F" w:rsidRPr="00B750E1" w:rsidTr="00CE678F">
        <w:trPr>
          <w:trHeight w:val="920"/>
          <w:tblHeader/>
        </w:trPr>
        <w:tc>
          <w:tcPr>
            <w:tcW w:w="744" w:type="dxa"/>
            <w:vMerge/>
            <w:shd w:val="clear" w:color="FFFFFF" w:fill="FFFFFF"/>
            <w:noWrap/>
            <w:vAlign w:val="center"/>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eastAsia="vi-VN"/>
              </w:rPr>
            </w:pPr>
          </w:p>
        </w:tc>
        <w:tc>
          <w:tcPr>
            <w:tcW w:w="1873" w:type="dxa"/>
            <w:shd w:val="clear" w:color="FFFFFF" w:fill="FFFFFF"/>
          </w:tcPr>
          <w:p w:rsidR="00CE678F" w:rsidRPr="00B750E1" w:rsidRDefault="00CE678F" w:rsidP="00CE678F">
            <w:pPr>
              <w:spacing w:after="0" w:line="240" w:lineRule="auto"/>
              <w:jc w:val="center"/>
              <w:rPr>
                <w:rFonts w:eastAsia="Times New Roman" w:cs="Times New Roman"/>
                <w:b/>
                <w:bCs/>
                <w:color w:val="000000" w:themeColor="text1"/>
                <w:spacing w:val="-8"/>
                <w:kern w:val="0"/>
                <w:sz w:val="20"/>
                <w:szCs w:val="20"/>
                <w:lang w:eastAsia="vi-VN"/>
              </w:rPr>
            </w:pPr>
          </w:p>
          <w:p w:rsidR="00CE678F" w:rsidRPr="00B750E1" w:rsidRDefault="00CE678F" w:rsidP="00CE678F">
            <w:pPr>
              <w:spacing w:after="0" w:line="240" w:lineRule="auto"/>
              <w:jc w:val="center"/>
              <w:rPr>
                <w:rFonts w:eastAsia="Times New Roman" w:cs="Times New Roman"/>
                <w:b/>
                <w:bCs/>
                <w:color w:val="000000" w:themeColor="text1"/>
                <w:spacing w:val="-8"/>
                <w:kern w:val="0"/>
                <w:sz w:val="20"/>
                <w:szCs w:val="20"/>
                <w:lang w:eastAsia="vi-VN"/>
              </w:rPr>
            </w:pPr>
            <w:r w:rsidRPr="00B750E1">
              <w:rPr>
                <w:rFonts w:eastAsia="Times New Roman" w:cs="Times New Roman"/>
                <w:b/>
                <w:bCs/>
                <w:color w:val="000000" w:themeColor="text1"/>
                <w:spacing w:val="-8"/>
                <w:kern w:val="0"/>
                <w:sz w:val="20"/>
                <w:szCs w:val="20"/>
                <w:lang w:eastAsia="vi-VN"/>
              </w:rPr>
              <w:t>Đơn vị gửi kiến nghị</w:t>
            </w:r>
          </w:p>
        </w:tc>
        <w:tc>
          <w:tcPr>
            <w:tcW w:w="1105" w:type="dxa"/>
            <w:shd w:val="clear" w:color="FFFFFF" w:fill="FFFFFF"/>
            <w:vAlign w:val="center"/>
          </w:tcPr>
          <w:p w:rsidR="00CE678F" w:rsidRPr="00B750E1" w:rsidRDefault="00CE678F" w:rsidP="00CE678F">
            <w:pPr>
              <w:spacing w:after="0" w:line="240" w:lineRule="auto"/>
              <w:jc w:val="center"/>
              <w:rPr>
                <w:rFonts w:eastAsia="Times New Roman" w:cs="Times New Roman"/>
                <w:b/>
                <w:bCs/>
                <w:color w:val="000000" w:themeColor="text1"/>
                <w:spacing w:val="-8"/>
                <w:kern w:val="0"/>
                <w:sz w:val="20"/>
                <w:szCs w:val="20"/>
                <w:lang w:eastAsia="vi-VN"/>
              </w:rPr>
            </w:pPr>
            <w:r w:rsidRPr="00B750E1">
              <w:rPr>
                <w:rFonts w:eastAsia="Times New Roman" w:cs="Times New Roman"/>
                <w:b/>
                <w:bCs/>
                <w:color w:val="000000" w:themeColor="text1"/>
                <w:spacing w:val="-8"/>
                <w:kern w:val="0"/>
                <w:sz w:val="20"/>
                <w:szCs w:val="20"/>
                <w:lang w:eastAsia="vi-VN"/>
              </w:rPr>
              <w:t>Lĩnh vực kiến nghị thuộc Bộ</w:t>
            </w:r>
          </w:p>
        </w:tc>
        <w:tc>
          <w:tcPr>
            <w:tcW w:w="3851" w:type="dxa"/>
            <w:shd w:val="clear" w:color="FFFFFF" w:fill="FFFFFF"/>
            <w:vAlign w:val="center"/>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Vấn đề/vướng mắc trong thực tế</w:t>
            </w:r>
          </w:p>
        </w:tc>
        <w:tc>
          <w:tcPr>
            <w:tcW w:w="3111" w:type="dxa"/>
            <w:shd w:val="clear" w:color="FFFFFF" w:fill="FFFFFF"/>
            <w:noWrap/>
            <w:vAlign w:val="center"/>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eastAsia="vi-VN"/>
              </w:rPr>
            </w:pPr>
            <w:r w:rsidRPr="00B750E1">
              <w:rPr>
                <w:rFonts w:eastAsia="Times New Roman" w:cs="Times New Roman"/>
                <w:b/>
                <w:bCs/>
                <w:color w:val="000000" w:themeColor="text1"/>
                <w:kern w:val="0"/>
                <w:sz w:val="20"/>
                <w:szCs w:val="20"/>
                <w:lang w:eastAsia="vi-VN"/>
              </w:rPr>
              <w:t>Nội dung kiến nghị của doanh nghiệp</w:t>
            </w:r>
          </w:p>
        </w:tc>
        <w:tc>
          <w:tcPr>
            <w:tcW w:w="1823" w:type="dxa"/>
            <w:vMerge/>
            <w:shd w:val="clear" w:color="FFFFFF" w:fill="FFFFFF"/>
            <w:noWrap/>
            <w:vAlign w:val="center"/>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val="vi-VN" w:eastAsia="vi-VN"/>
              </w:rPr>
            </w:pPr>
          </w:p>
        </w:tc>
        <w:tc>
          <w:tcPr>
            <w:tcW w:w="2622" w:type="dxa"/>
            <w:vMerge/>
            <w:shd w:val="clear" w:color="FFFFFF" w:fill="FFFFFF"/>
          </w:tcPr>
          <w:p w:rsidR="00CE678F" w:rsidRPr="00B750E1" w:rsidRDefault="00CE678F" w:rsidP="00CE678F">
            <w:pPr>
              <w:spacing w:after="0" w:line="240" w:lineRule="auto"/>
              <w:jc w:val="center"/>
              <w:rPr>
                <w:rFonts w:eastAsia="Times New Roman" w:cs="Times New Roman"/>
                <w:b/>
                <w:bCs/>
                <w:color w:val="000000" w:themeColor="text1"/>
                <w:kern w:val="0"/>
                <w:sz w:val="20"/>
                <w:szCs w:val="20"/>
                <w:lang w:val="vi-VN" w:eastAsia="vi-VN"/>
              </w:rPr>
            </w:pPr>
          </w:p>
        </w:tc>
      </w:tr>
      <w:tr w:rsidR="00CE678F" w:rsidRPr="00B750E1" w:rsidTr="00CE678F">
        <w:trPr>
          <w:trHeight w:val="314"/>
          <w:tblHeader/>
        </w:trPr>
        <w:tc>
          <w:tcPr>
            <w:tcW w:w="744" w:type="dxa"/>
            <w:vMerge/>
          </w:tcPr>
          <w:p w:rsidR="00CE678F" w:rsidRPr="00B750E1" w:rsidRDefault="00CE678F" w:rsidP="00CE678F">
            <w:pPr>
              <w:spacing w:after="0" w:line="240" w:lineRule="auto"/>
              <w:jc w:val="center"/>
              <w:rPr>
                <w:rFonts w:eastAsia="Times New Roman" w:cs="Times New Roman"/>
                <w:color w:val="000000" w:themeColor="text1"/>
                <w:kern w:val="0"/>
                <w:sz w:val="20"/>
                <w:szCs w:val="20"/>
                <w:lang w:eastAsia="vi-VN"/>
              </w:rPr>
            </w:pPr>
          </w:p>
        </w:tc>
        <w:tc>
          <w:tcPr>
            <w:tcW w:w="1873" w:type="dxa"/>
          </w:tcPr>
          <w:p w:rsidR="00CE678F" w:rsidRPr="00B750E1" w:rsidRDefault="00CE678F" w:rsidP="00CE678F">
            <w:pPr>
              <w:spacing w:after="0" w:line="240" w:lineRule="auto"/>
              <w:jc w:val="center"/>
              <w:rPr>
                <w:rFonts w:eastAsia="Times New Roman" w:cs="Times New Roman"/>
                <w:b/>
                <w:i/>
                <w:color w:val="000000" w:themeColor="text1"/>
                <w:kern w:val="0"/>
                <w:sz w:val="20"/>
                <w:szCs w:val="20"/>
                <w:lang w:eastAsia="vi-VN"/>
              </w:rPr>
            </w:pPr>
            <w:r w:rsidRPr="00B750E1">
              <w:rPr>
                <w:rFonts w:eastAsia="Times New Roman" w:cs="Times New Roman"/>
                <w:b/>
                <w:i/>
                <w:color w:val="000000" w:themeColor="text1"/>
                <w:kern w:val="0"/>
                <w:sz w:val="20"/>
                <w:szCs w:val="20"/>
                <w:lang w:eastAsia="vi-VN"/>
              </w:rPr>
              <w:t>(1)</w:t>
            </w:r>
          </w:p>
        </w:tc>
        <w:tc>
          <w:tcPr>
            <w:tcW w:w="1105" w:type="dxa"/>
            <w:vAlign w:val="center"/>
          </w:tcPr>
          <w:p w:rsidR="00CE678F" w:rsidRPr="00B750E1" w:rsidRDefault="00CE678F" w:rsidP="00CE678F">
            <w:pPr>
              <w:spacing w:after="0" w:line="240" w:lineRule="auto"/>
              <w:jc w:val="center"/>
              <w:rPr>
                <w:rFonts w:eastAsia="Times New Roman" w:cs="Times New Roman"/>
                <w:b/>
                <w:i/>
                <w:color w:val="000000" w:themeColor="text1"/>
                <w:kern w:val="0"/>
                <w:sz w:val="20"/>
                <w:szCs w:val="20"/>
                <w:lang w:eastAsia="vi-VN"/>
              </w:rPr>
            </w:pPr>
            <w:r w:rsidRPr="00B750E1">
              <w:rPr>
                <w:rFonts w:eastAsia="Times New Roman" w:cs="Times New Roman"/>
                <w:b/>
                <w:i/>
                <w:color w:val="000000" w:themeColor="text1"/>
                <w:kern w:val="0"/>
                <w:sz w:val="20"/>
                <w:szCs w:val="20"/>
                <w:lang w:eastAsia="vi-VN"/>
              </w:rPr>
              <w:t>(2)</w:t>
            </w:r>
          </w:p>
        </w:tc>
        <w:tc>
          <w:tcPr>
            <w:tcW w:w="3851" w:type="dxa"/>
            <w:vAlign w:val="center"/>
          </w:tcPr>
          <w:p w:rsidR="00CE678F" w:rsidRPr="00B750E1" w:rsidRDefault="00CE678F" w:rsidP="00CE678F">
            <w:pPr>
              <w:spacing w:after="0" w:line="240" w:lineRule="auto"/>
              <w:jc w:val="center"/>
              <w:rPr>
                <w:rFonts w:eastAsia="Times New Roman" w:cs="Times New Roman"/>
                <w:b/>
                <w:bCs/>
                <w:i/>
                <w:color w:val="000000" w:themeColor="text1"/>
                <w:kern w:val="0"/>
                <w:sz w:val="20"/>
                <w:szCs w:val="20"/>
                <w:lang w:eastAsia="vi-VN"/>
              </w:rPr>
            </w:pPr>
            <w:r w:rsidRPr="00B750E1">
              <w:rPr>
                <w:rFonts w:eastAsia="Times New Roman" w:cs="Times New Roman"/>
                <w:b/>
                <w:bCs/>
                <w:i/>
                <w:color w:val="000000" w:themeColor="text1"/>
                <w:kern w:val="0"/>
                <w:sz w:val="20"/>
                <w:szCs w:val="20"/>
                <w:lang w:eastAsia="vi-VN"/>
              </w:rPr>
              <w:t>(3)</w:t>
            </w:r>
          </w:p>
        </w:tc>
        <w:tc>
          <w:tcPr>
            <w:tcW w:w="3111" w:type="dxa"/>
            <w:vAlign w:val="center"/>
          </w:tcPr>
          <w:p w:rsidR="00CE678F" w:rsidRPr="00B750E1" w:rsidRDefault="00CE678F" w:rsidP="00CE678F">
            <w:pPr>
              <w:spacing w:after="0" w:line="240" w:lineRule="auto"/>
              <w:jc w:val="center"/>
              <w:rPr>
                <w:rFonts w:eastAsia="Times New Roman" w:cs="Times New Roman"/>
                <w:b/>
                <w:i/>
                <w:color w:val="000000" w:themeColor="text1"/>
                <w:kern w:val="0"/>
                <w:sz w:val="20"/>
                <w:szCs w:val="20"/>
                <w:lang w:eastAsia="vi-VN"/>
              </w:rPr>
            </w:pPr>
            <w:r w:rsidRPr="00B750E1">
              <w:rPr>
                <w:rFonts w:eastAsia="Times New Roman" w:cs="Times New Roman"/>
                <w:b/>
                <w:i/>
                <w:color w:val="000000" w:themeColor="text1"/>
                <w:kern w:val="0"/>
                <w:sz w:val="20"/>
                <w:szCs w:val="20"/>
                <w:lang w:eastAsia="vi-VN"/>
              </w:rPr>
              <w:t>(4)</w:t>
            </w:r>
          </w:p>
        </w:tc>
        <w:tc>
          <w:tcPr>
            <w:tcW w:w="1823" w:type="dxa"/>
            <w:vAlign w:val="center"/>
          </w:tcPr>
          <w:p w:rsidR="00CE678F" w:rsidRPr="00B750E1" w:rsidRDefault="00CE678F" w:rsidP="00CE678F">
            <w:pPr>
              <w:spacing w:after="0" w:line="240" w:lineRule="auto"/>
              <w:jc w:val="center"/>
              <w:rPr>
                <w:rFonts w:eastAsia="Times New Roman" w:cs="Times New Roman"/>
                <w:b/>
                <w:i/>
                <w:color w:val="000000" w:themeColor="text1"/>
                <w:kern w:val="0"/>
                <w:sz w:val="20"/>
                <w:szCs w:val="20"/>
                <w:lang w:eastAsia="vi-VN"/>
              </w:rPr>
            </w:pPr>
            <w:r w:rsidRPr="00B750E1">
              <w:rPr>
                <w:rFonts w:eastAsia="Times New Roman" w:cs="Times New Roman"/>
                <w:b/>
                <w:i/>
                <w:color w:val="000000" w:themeColor="text1"/>
                <w:kern w:val="0"/>
                <w:sz w:val="20"/>
                <w:szCs w:val="20"/>
                <w:lang w:eastAsia="vi-VN"/>
              </w:rPr>
              <w:t>(5)</w:t>
            </w:r>
          </w:p>
        </w:tc>
        <w:tc>
          <w:tcPr>
            <w:tcW w:w="2622" w:type="dxa"/>
          </w:tcPr>
          <w:p w:rsidR="00CE678F" w:rsidRPr="00B750E1" w:rsidRDefault="00CE678F" w:rsidP="00CE678F">
            <w:pPr>
              <w:spacing w:after="0" w:line="240" w:lineRule="auto"/>
              <w:jc w:val="center"/>
              <w:rPr>
                <w:rFonts w:eastAsia="Times New Roman" w:cs="Times New Roman"/>
                <w:b/>
                <w:i/>
                <w:color w:val="000000" w:themeColor="text1"/>
                <w:kern w:val="0"/>
                <w:sz w:val="20"/>
                <w:szCs w:val="20"/>
                <w:lang w:eastAsia="vi-VN"/>
              </w:rPr>
            </w:pPr>
            <w:r w:rsidRPr="00B750E1">
              <w:rPr>
                <w:rFonts w:eastAsia="Times New Roman" w:cs="Times New Roman"/>
                <w:b/>
                <w:i/>
                <w:color w:val="000000" w:themeColor="text1"/>
                <w:kern w:val="0"/>
                <w:sz w:val="20"/>
                <w:szCs w:val="20"/>
                <w:lang w:eastAsia="vi-VN"/>
              </w:rPr>
              <w:t>(6)</w:t>
            </w:r>
          </w:p>
        </w:tc>
      </w:tr>
      <w:tr w:rsidR="00CE678F" w:rsidRPr="00B750E1" w:rsidTr="00B750E1">
        <w:trPr>
          <w:trHeight w:val="383"/>
        </w:trPr>
        <w:tc>
          <w:tcPr>
            <w:tcW w:w="744" w:type="dxa"/>
            <w:shd w:val="clear" w:color="auto" w:fill="auto"/>
            <w:noWrap/>
            <w:vAlign w:val="center"/>
          </w:tcPr>
          <w:p w:rsidR="00CE678F" w:rsidRPr="00B750E1" w:rsidRDefault="00CE678F" w:rsidP="00CE678F">
            <w:pPr>
              <w:spacing w:after="0" w:line="240" w:lineRule="exact"/>
              <w:jc w:val="center"/>
              <w:rPr>
                <w:rFonts w:cs="Times New Roman"/>
                <w:b/>
                <w:bCs/>
                <w:color w:val="000000" w:themeColor="text1"/>
                <w:sz w:val="20"/>
                <w:szCs w:val="20"/>
                <w:lang w:val="vi-VN"/>
              </w:rPr>
            </w:pPr>
            <w:r>
              <w:rPr>
                <w:rFonts w:eastAsia="Times New Roman"/>
                <w:sz w:val="20"/>
              </w:rPr>
              <w:t>1</w:t>
            </w:r>
          </w:p>
        </w:tc>
        <w:tc>
          <w:tcPr>
            <w:tcW w:w="1873" w:type="dxa"/>
            <w:shd w:val="clear" w:color="auto" w:fill="auto"/>
            <w:vAlign w:val="center"/>
          </w:tcPr>
          <w:p w:rsidR="00CE678F" w:rsidRPr="00B750E1" w:rsidRDefault="00CE678F" w:rsidP="00CE678F">
            <w:pPr>
              <w:spacing w:after="0" w:line="240" w:lineRule="exact"/>
              <w:rPr>
                <w:sz w:val="20"/>
                <w:szCs w:val="20"/>
              </w:rPr>
            </w:pPr>
            <w:r w:rsidRPr="00B750E1">
              <w:rPr>
                <w:rFonts w:cs="Times New Roman"/>
                <w:sz w:val="20"/>
                <w:szCs w:val="20"/>
              </w:rPr>
              <w:t>Công ty Cổ phần Phát triển Nông nghiệp Hòa Phát</w:t>
            </w:r>
          </w:p>
        </w:tc>
        <w:tc>
          <w:tcPr>
            <w:tcW w:w="1105" w:type="dxa"/>
            <w:shd w:val="clear" w:color="auto" w:fill="auto"/>
            <w:vAlign w:val="center"/>
          </w:tcPr>
          <w:p w:rsidR="00CE678F" w:rsidRPr="00B750E1" w:rsidRDefault="00CE678F" w:rsidP="00CE678F">
            <w:pPr>
              <w:spacing w:after="0" w:line="240" w:lineRule="exact"/>
              <w:rPr>
                <w:sz w:val="20"/>
                <w:szCs w:val="20"/>
              </w:rPr>
            </w:pPr>
            <w:r w:rsidRPr="00B750E1">
              <w:rPr>
                <w:rFonts w:eastAsia="Times New Roman"/>
                <w:sz w:val="20"/>
                <w:szCs w:val="20"/>
              </w:rPr>
              <w:t>Bộ Khoa học và Công nghệ</w:t>
            </w:r>
          </w:p>
        </w:tc>
        <w:tc>
          <w:tcPr>
            <w:tcW w:w="3851" w:type="dxa"/>
            <w:shd w:val="clear" w:color="auto" w:fill="auto"/>
            <w:vAlign w:val="center"/>
          </w:tcPr>
          <w:p w:rsidR="00CE678F" w:rsidRPr="00B750E1" w:rsidRDefault="00CE678F" w:rsidP="00CE678F">
            <w:pPr>
              <w:spacing w:after="0" w:line="240" w:lineRule="exact"/>
              <w:rPr>
                <w:sz w:val="20"/>
                <w:szCs w:val="20"/>
              </w:rPr>
            </w:pPr>
            <w:r w:rsidRPr="00B750E1">
              <w:rPr>
                <w:rFonts w:cs="Times New Roman"/>
                <w:sz w:val="20"/>
                <w:szCs w:val="20"/>
              </w:rPr>
              <w:t>Công ty Cổ phần Phát triển Nông nghiệp Hòa Phát phản ánh sự bất cập, thiếu đồng bộ giữa các văn bản quy phạm pháp luật khi thực hiện cải cách: Thông tư 14/2026/TT-BKHCN kéo dài thời hạn hiệu lực của Giấy chứng nhận hợp quy từ 3 năm lên 5 năm, nhưng các QCVN của Bộ chuyên ngành chưa kịp điều chỉnh tương ứng nên thực tế vẫn phải áp dụng hiệu lực 3 năm theo QCVN cũ.</w:t>
            </w:r>
          </w:p>
        </w:tc>
        <w:tc>
          <w:tcPr>
            <w:tcW w:w="3111" w:type="dxa"/>
            <w:shd w:val="clear" w:color="auto" w:fill="auto"/>
            <w:vAlign w:val="center"/>
          </w:tcPr>
          <w:p w:rsidR="00CE678F" w:rsidRPr="00B750E1" w:rsidRDefault="00CE678F" w:rsidP="00CE678F">
            <w:pPr>
              <w:spacing w:after="0" w:line="240" w:lineRule="exact"/>
              <w:rPr>
                <w:sz w:val="20"/>
                <w:szCs w:val="20"/>
              </w:rPr>
            </w:pPr>
            <w:r w:rsidRPr="00B750E1">
              <w:rPr>
                <w:rFonts w:cs="Times New Roman"/>
                <w:sz w:val="20"/>
                <w:szCs w:val="20"/>
              </w:rPr>
              <w:t>Chỉ đạo các Bộ chuyên ngành chủ động, khẩn trương rà soát và sửa đổi các QCVN tương ứng để cập nhật thời hạn hiệu lực 5 năm thống nhất với Thông tư 14/2026/TT-BKHCN.</w:t>
            </w:r>
          </w:p>
        </w:tc>
        <w:tc>
          <w:tcPr>
            <w:tcW w:w="1823" w:type="dxa"/>
            <w:shd w:val="clear" w:color="auto" w:fill="auto"/>
            <w:vAlign w:val="center"/>
          </w:tcPr>
          <w:p w:rsidR="00CE678F" w:rsidRPr="00B750E1" w:rsidRDefault="00CE678F" w:rsidP="00CE678F">
            <w:pPr>
              <w:spacing w:after="0" w:line="240" w:lineRule="exact"/>
              <w:rPr>
                <w:sz w:val="20"/>
                <w:szCs w:val="20"/>
              </w:rPr>
            </w:pPr>
            <w:r w:rsidRPr="00B750E1">
              <w:rPr>
                <w:rFonts w:cs="Times New Roman"/>
                <w:sz w:val="20"/>
                <w:szCs w:val="20"/>
              </w:rPr>
              <w:t>Thông tư số 14/2026/TT-BKHCN.</w:t>
            </w:r>
          </w:p>
        </w:tc>
        <w:tc>
          <w:tcPr>
            <w:tcW w:w="2622" w:type="dxa"/>
            <w:shd w:val="clear" w:color="auto" w:fill="auto"/>
          </w:tcPr>
          <w:p w:rsidR="00CE678F" w:rsidRPr="00B750E1" w:rsidRDefault="00DE64B7" w:rsidP="00CE678F">
            <w:pPr>
              <w:spacing w:after="0" w:line="240" w:lineRule="exact"/>
              <w:rPr>
                <w:rFonts w:cs="Times New Roman"/>
                <w:color w:val="000000" w:themeColor="text1"/>
                <w:sz w:val="20"/>
                <w:szCs w:val="20"/>
              </w:rPr>
            </w:pPr>
            <w:r w:rsidRPr="00B750E1">
              <w:rPr>
                <w:rFonts w:cs="Times New Roman"/>
                <w:color w:val="000000" w:themeColor="text1"/>
                <w:sz w:val="20"/>
                <w:szCs w:val="20"/>
              </w:rPr>
              <w:t>Công văn số 3698/TĐC-PCTTra ngày 15/9/2026 của Ủy ban Tiêu chuẩn đo lường chất lượng quốc gia (Bộ Khoa học và Công nghệ) gửi VCCI, bao gồm nội dung trả lời kiến nghị của doanh nghiệp.</w:t>
            </w:r>
          </w:p>
        </w:tc>
      </w:tr>
      <w:tr w:rsidR="00DE64B7" w:rsidRPr="00B750E1" w:rsidTr="00B750E1">
        <w:trPr>
          <w:trHeight w:val="383"/>
        </w:trPr>
        <w:tc>
          <w:tcPr>
            <w:tcW w:w="744" w:type="dxa"/>
            <w:shd w:val="clear" w:color="auto" w:fill="auto"/>
            <w:noWrap/>
            <w:vAlign w:val="center"/>
          </w:tcPr>
          <w:p w:rsidR="00DE64B7" w:rsidRPr="00B750E1" w:rsidRDefault="00DE64B7" w:rsidP="00CE678F">
            <w:pPr>
              <w:spacing w:after="0" w:line="240" w:lineRule="exact"/>
              <w:jc w:val="center"/>
              <w:rPr>
                <w:rFonts w:cs="Times New Roman"/>
                <w:b/>
                <w:bCs/>
                <w:color w:val="000000" w:themeColor="text1"/>
                <w:sz w:val="20"/>
                <w:szCs w:val="20"/>
              </w:rPr>
            </w:pPr>
            <w:r>
              <w:rPr>
                <w:rFonts w:eastAsia="Times New Roman"/>
                <w:sz w:val="20"/>
              </w:rPr>
              <w:t>2</w:t>
            </w:r>
          </w:p>
        </w:tc>
        <w:tc>
          <w:tcPr>
            <w:tcW w:w="187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Công ty Cổ phần Phát triển Nông nghiệp Hòa Phát</w:t>
            </w:r>
          </w:p>
        </w:tc>
        <w:tc>
          <w:tcPr>
            <w:tcW w:w="1105" w:type="dxa"/>
            <w:shd w:val="clear" w:color="auto" w:fill="auto"/>
            <w:vAlign w:val="center"/>
          </w:tcPr>
          <w:p w:rsidR="00DE64B7" w:rsidRPr="00B750E1" w:rsidRDefault="00DE64B7" w:rsidP="00CE678F">
            <w:pPr>
              <w:spacing w:after="0" w:line="240" w:lineRule="exact"/>
              <w:rPr>
                <w:sz w:val="20"/>
                <w:szCs w:val="20"/>
              </w:rPr>
            </w:pPr>
            <w:r w:rsidRPr="00B750E1">
              <w:rPr>
                <w:rFonts w:eastAsia="Times New Roman"/>
                <w:sz w:val="20"/>
                <w:szCs w:val="20"/>
              </w:rPr>
              <w:t>Bộ Khoa học và Công nghệ</w:t>
            </w:r>
          </w:p>
        </w:tc>
        <w:tc>
          <w:tcPr>
            <w:tcW w:w="385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Công ty Cổ phần Phát triển Nông nghiệp Hòa Phát phản ánh quy định thủ tục “Thông báo việc công bố TCCS” trong thời hạn 20 ngày kể từ ngày công bố lên Cơ sở dữ liệu quốc gia (theo khoản 2 Điều 20 Luật TC-QC và Thông tư 13/2026/TT-BKHCN) là một thủ tục hành chính thừa, không có giá trị quản lý thực tế vì TCCS đã có sẵn trên mẫu nhãn sản phẩm và đính kèm trong các thủ tục chứng nhận, công bố tiếp theo.</w:t>
            </w:r>
          </w:p>
        </w:tc>
        <w:tc>
          <w:tcPr>
            <w:tcW w:w="311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Đề xuất rà soát và bãi bỏ thủ tục “Thông báo việc công bố TCCS” trên Cơ sở dữ liệu quốc gia tại Luật Tiêu chuẩn và quy chuẩn kỹ thuật để giảm thiểu gánh nặng hành chính.</w:t>
            </w:r>
          </w:p>
        </w:tc>
        <w:tc>
          <w:tcPr>
            <w:tcW w:w="182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Luật Tiêu chuẩn và Quy chuẩn kỹ thuật (Khoản 2 Điều 20), Thông tư 13/2026/TT-BKHCN.</w:t>
            </w:r>
          </w:p>
        </w:tc>
        <w:tc>
          <w:tcPr>
            <w:tcW w:w="2622" w:type="dxa"/>
            <w:shd w:val="clear" w:color="auto" w:fill="auto"/>
          </w:tcPr>
          <w:p w:rsidR="00DE64B7" w:rsidRPr="00B750E1" w:rsidRDefault="00DE64B7" w:rsidP="00DE64B7">
            <w:pPr>
              <w:spacing w:after="0" w:line="240" w:lineRule="exact"/>
              <w:rPr>
                <w:rFonts w:cs="Times New Roman"/>
                <w:color w:val="000000" w:themeColor="text1"/>
                <w:sz w:val="20"/>
                <w:szCs w:val="20"/>
              </w:rPr>
            </w:pPr>
            <w:r w:rsidRPr="00B750E1">
              <w:rPr>
                <w:rFonts w:cs="Times New Roman"/>
                <w:color w:val="000000" w:themeColor="text1"/>
                <w:sz w:val="20"/>
                <w:szCs w:val="20"/>
              </w:rPr>
              <w:t>Công văn số 3698/TĐC-PCTTra ngày 15/9/2026 của Ủy ban Tiêu chuẩn đo lường chất lượng quốc gia (Bộ Khoa học và Công nghệ) gửi VCCI, bao gồm nội dung trả lời kiến nghị của doanh nghiệp.</w:t>
            </w:r>
          </w:p>
        </w:tc>
      </w:tr>
      <w:tr w:rsidR="00DE64B7" w:rsidRPr="00B750E1" w:rsidTr="00B750E1">
        <w:trPr>
          <w:trHeight w:val="383"/>
        </w:trPr>
        <w:tc>
          <w:tcPr>
            <w:tcW w:w="744" w:type="dxa"/>
            <w:shd w:val="clear" w:color="auto" w:fill="auto"/>
            <w:noWrap/>
            <w:vAlign w:val="center"/>
          </w:tcPr>
          <w:p w:rsidR="00DE64B7" w:rsidRPr="00B750E1" w:rsidRDefault="00DE64B7" w:rsidP="00CE678F">
            <w:pPr>
              <w:spacing w:after="0" w:line="240" w:lineRule="exact"/>
              <w:jc w:val="center"/>
              <w:rPr>
                <w:rFonts w:cs="Times New Roman"/>
                <w:b/>
                <w:bCs/>
                <w:color w:val="000000" w:themeColor="text1"/>
                <w:sz w:val="20"/>
                <w:szCs w:val="20"/>
              </w:rPr>
            </w:pPr>
            <w:r>
              <w:rPr>
                <w:rFonts w:eastAsia="Times New Roman"/>
                <w:sz w:val="20"/>
              </w:rPr>
              <w:t>3</w:t>
            </w:r>
          </w:p>
        </w:tc>
        <w:tc>
          <w:tcPr>
            <w:tcW w:w="187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Công ty Cổ phần Phát triển Nông nghiệp Hòa Phát</w:t>
            </w:r>
          </w:p>
        </w:tc>
        <w:tc>
          <w:tcPr>
            <w:tcW w:w="1105" w:type="dxa"/>
            <w:shd w:val="clear" w:color="auto" w:fill="auto"/>
            <w:vAlign w:val="center"/>
          </w:tcPr>
          <w:p w:rsidR="00DE64B7" w:rsidRPr="00B750E1" w:rsidRDefault="00DE64B7" w:rsidP="00CE678F">
            <w:pPr>
              <w:spacing w:after="0" w:line="240" w:lineRule="exact"/>
              <w:rPr>
                <w:sz w:val="20"/>
                <w:szCs w:val="20"/>
              </w:rPr>
            </w:pPr>
            <w:r w:rsidRPr="00B750E1">
              <w:rPr>
                <w:rFonts w:eastAsia="Times New Roman"/>
                <w:sz w:val="20"/>
                <w:szCs w:val="20"/>
              </w:rPr>
              <w:t>Bộ Khoa học và Công nghệ</w:t>
            </w:r>
          </w:p>
        </w:tc>
        <w:tc>
          <w:tcPr>
            <w:tcW w:w="385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 xml:space="preserve">Công ty Cổ phần Phát triển Nông nghiệp Hòa Phát phản ánh sự thiếu rõ ràng và mâu thuẫn về phương thức 'tự đánh giá sự phù hợp QCVN' đối với TACN (thuộc nhóm rủi ro trung bình) theo Thông tư 27/2026/TT-BNNMT và Thông tư 14/2026/TT-BKHCN </w:t>
            </w:r>
            <w:r w:rsidRPr="00B750E1">
              <w:rPr>
                <w:rFonts w:cs="Times New Roman"/>
                <w:sz w:val="20"/>
                <w:szCs w:val="20"/>
              </w:rPr>
              <w:lastRenderedPageBreak/>
              <w:t>(Thông tư 14 chỉ hướng dẫn phương thức chứng nhận cho tổ chức chứng nhận, không đề cập trường hợp tự đánh giá, bãi bỏ phương thức 2a cũ của Thông tư 28/2012).</w:t>
            </w:r>
          </w:p>
        </w:tc>
        <w:tc>
          <w:tcPr>
            <w:tcW w:w="311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lastRenderedPageBreak/>
              <w:t>Ban hành văn bản hướng dẫn chi tiết quy trình tự đánh giá sự phù hợp để doanh nghiệp có căn cứ tham chiếu thực hiện và cơ quan chức năng có căn cứ kiểm tra hậu kiểm.</w:t>
            </w:r>
          </w:p>
        </w:tc>
        <w:tc>
          <w:tcPr>
            <w:tcW w:w="182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Thông tư số 27/2026/TT-BNNMT, Thông tư số 14/2026/TT-BKHCN.</w:t>
            </w:r>
          </w:p>
        </w:tc>
        <w:tc>
          <w:tcPr>
            <w:tcW w:w="2622" w:type="dxa"/>
            <w:shd w:val="clear" w:color="auto" w:fill="auto"/>
          </w:tcPr>
          <w:p w:rsidR="00DE64B7" w:rsidRPr="00B750E1" w:rsidRDefault="00DE64B7" w:rsidP="00DE64B7">
            <w:pPr>
              <w:spacing w:after="0" w:line="240" w:lineRule="exact"/>
              <w:rPr>
                <w:rFonts w:cs="Times New Roman"/>
                <w:color w:val="000000" w:themeColor="text1"/>
                <w:sz w:val="20"/>
                <w:szCs w:val="20"/>
              </w:rPr>
            </w:pPr>
            <w:r w:rsidRPr="00B750E1">
              <w:rPr>
                <w:rFonts w:cs="Times New Roman"/>
                <w:color w:val="000000" w:themeColor="text1"/>
                <w:sz w:val="20"/>
                <w:szCs w:val="20"/>
              </w:rPr>
              <w:t xml:space="preserve">Công văn số 3698/TĐC-PCTTra ngày 15/9/2026 của Ủy ban Tiêu chuẩn đo lường chất lượng quốc gia (Bộ Khoa học và Công nghệ) gửi VCCI, bao gồm nội dung trả </w:t>
            </w:r>
            <w:r w:rsidRPr="00B750E1">
              <w:rPr>
                <w:rFonts w:cs="Times New Roman"/>
                <w:color w:val="000000" w:themeColor="text1"/>
                <w:sz w:val="20"/>
                <w:szCs w:val="20"/>
              </w:rPr>
              <w:lastRenderedPageBreak/>
              <w:t>lời kiến nghị của doanh nghiệp.</w:t>
            </w:r>
          </w:p>
        </w:tc>
      </w:tr>
      <w:tr w:rsidR="00DE64B7" w:rsidRPr="00B750E1" w:rsidTr="00B750E1">
        <w:trPr>
          <w:trHeight w:val="383"/>
        </w:trPr>
        <w:tc>
          <w:tcPr>
            <w:tcW w:w="744" w:type="dxa"/>
            <w:shd w:val="clear" w:color="auto" w:fill="auto"/>
            <w:noWrap/>
            <w:vAlign w:val="center"/>
          </w:tcPr>
          <w:p w:rsidR="00DE64B7" w:rsidRPr="00B750E1" w:rsidRDefault="00DE64B7" w:rsidP="00CE678F">
            <w:pPr>
              <w:spacing w:after="0" w:line="240" w:lineRule="exact"/>
              <w:jc w:val="center"/>
              <w:rPr>
                <w:rFonts w:cs="Times New Roman"/>
                <w:b/>
                <w:bCs/>
                <w:color w:val="000000" w:themeColor="text1"/>
                <w:sz w:val="20"/>
                <w:szCs w:val="20"/>
              </w:rPr>
            </w:pPr>
            <w:r>
              <w:rPr>
                <w:rFonts w:eastAsia="Times New Roman"/>
                <w:sz w:val="20"/>
              </w:rPr>
              <w:lastRenderedPageBreak/>
              <w:t>4</w:t>
            </w:r>
          </w:p>
        </w:tc>
        <w:tc>
          <w:tcPr>
            <w:tcW w:w="187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Công ty Cổ phần Phát triển Nông nghiệp Hòa Phát</w:t>
            </w:r>
          </w:p>
        </w:tc>
        <w:tc>
          <w:tcPr>
            <w:tcW w:w="1105" w:type="dxa"/>
            <w:shd w:val="clear" w:color="auto" w:fill="auto"/>
            <w:vAlign w:val="center"/>
          </w:tcPr>
          <w:p w:rsidR="00DE64B7" w:rsidRPr="00B750E1" w:rsidRDefault="00DE64B7" w:rsidP="00CE678F">
            <w:pPr>
              <w:spacing w:after="0" w:line="240" w:lineRule="exact"/>
              <w:rPr>
                <w:sz w:val="20"/>
                <w:szCs w:val="20"/>
              </w:rPr>
            </w:pPr>
            <w:r w:rsidRPr="00B750E1">
              <w:rPr>
                <w:rFonts w:eastAsia="Times New Roman"/>
                <w:sz w:val="20"/>
                <w:szCs w:val="20"/>
              </w:rPr>
              <w:t>Bộ Khoa học và Công nghệ</w:t>
            </w:r>
          </w:p>
        </w:tc>
        <w:tc>
          <w:tcPr>
            <w:tcW w:w="385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Công ty Cổ phần Phát triển Nông nghiệp Hòa Phát phản ánh lỗi thiết kế kỹ thuật nghiêm trọng trên Cơ sở dữ liệu quốc gia về đo lường chất lượng (áp dụng từ ngày 01/7/2026): khi đăng tải hồ sơ TCCS hoặc công bố hợp quy nếu phát hiện sai sót thì hệ thống không cho phép sửa hoặc xóa, doanh nghiệp buộc phải tạo một số hồ sơ mới hoàn toàn. Bộ phận hỗ trợ hướng dẫn doanh nghiệp tự lưu mã QR bản đúng cuối cùng, tạo ra sự không thống nhất về thông tin.</w:t>
            </w:r>
          </w:p>
        </w:tc>
        <w:tc>
          <w:tcPr>
            <w:tcW w:w="311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Khẩn trương nâng cấp, sửa đổi chức năng của Cơ sở dữ liệu quốc gia về tiêu chuẩn đo lường chất lượng: cho phép doanh nghiệp sửa đổi, cập nhật hoặc xóa bỏ các hồ sơ đã tải lên bị sai sót; phân quyền quản lý hồ sơ rõ ràng.</w:t>
            </w:r>
          </w:p>
        </w:tc>
        <w:tc>
          <w:tcPr>
            <w:tcW w:w="1823" w:type="dxa"/>
            <w:shd w:val="clear" w:color="auto" w:fill="auto"/>
            <w:vAlign w:val="center"/>
          </w:tcPr>
          <w:p w:rsidR="00DE64B7" w:rsidRPr="00B750E1" w:rsidRDefault="00DE64B7" w:rsidP="00CE678F">
            <w:pPr>
              <w:spacing w:after="0" w:line="240" w:lineRule="exact"/>
              <w:rPr>
                <w:sz w:val="20"/>
                <w:szCs w:val="20"/>
              </w:rPr>
            </w:pPr>
          </w:p>
        </w:tc>
        <w:tc>
          <w:tcPr>
            <w:tcW w:w="2622" w:type="dxa"/>
            <w:shd w:val="clear" w:color="auto" w:fill="auto"/>
          </w:tcPr>
          <w:p w:rsidR="00DE64B7" w:rsidRPr="00B750E1" w:rsidRDefault="00DE64B7" w:rsidP="00DE64B7">
            <w:pPr>
              <w:spacing w:after="0" w:line="240" w:lineRule="exact"/>
              <w:rPr>
                <w:rFonts w:cs="Times New Roman"/>
                <w:color w:val="000000" w:themeColor="text1"/>
                <w:sz w:val="20"/>
                <w:szCs w:val="20"/>
              </w:rPr>
            </w:pPr>
            <w:r w:rsidRPr="00B750E1">
              <w:rPr>
                <w:rFonts w:cs="Times New Roman"/>
                <w:color w:val="000000" w:themeColor="text1"/>
                <w:sz w:val="20"/>
                <w:szCs w:val="20"/>
              </w:rPr>
              <w:t>Công văn số 3698/TĐC-PCTTra ngày 15/9/2026 của Ủy ban Tiêu chuẩn đo lường chất lượng quốc gia (Bộ Khoa học và Công nghệ) gửi VCCI, bao gồm nội dung trả lời kiến nghị của doanh nghiệp.</w:t>
            </w:r>
          </w:p>
        </w:tc>
      </w:tr>
      <w:tr w:rsidR="00DE64B7" w:rsidRPr="00B750E1" w:rsidTr="00B750E1">
        <w:trPr>
          <w:trHeight w:val="383"/>
        </w:trPr>
        <w:tc>
          <w:tcPr>
            <w:tcW w:w="744" w:type="dxa"/>
            <w:shd w:val="clear" w:color="auto" w:fill="auto"/>
            <w:noWrap/>
            <w:vAlign w:val="center"/>
          </w:tcPr>
          <w:p w:rsidR="00DE64B7" w:rsidRPr="00B750E1" w:rsidRDefault="00DE64B7" w:rsidP="00CE678F">
            <w:pPr>
              <w:spacing w:after="0" w:line="240" w:lineRule="exact"/>
              <w:jc w:val="center"/>
              <w:rPr>
                <w:rFonts w:cs="Times New Roman"/>
                <w:b/>
                <w:bCs/>
                <w:color w:val="000000" w:themeColor="text1"/>
                <w:sz w:val="20"/>
                <w:szCs w:val="20"/>
              </w:rPr>
            </w:pPr>
            <w:r>
              <w:rPr>
                <w:rFonts w:eastAsia="Times New Roman"/>
                <w:sz w:val="20"/>
              </w:rPr>
              <w:t>5</w:t>
            </w:r>
          </w:p>
        </w:tc>
        <w:tc>
          <w:tcPr>
            <w:tcW w:w="187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Hiệp hội nước mắm truyền thống</w:t>
            </w:r>
          </w:p>
        </w:tc>
        <w:tc>
          <w:tcPr>
            <w:tcW w:w="1105" w:type="dxa"/>
            <w:shd w:val="clear" w:color="auto" w:fill="auto"/>
            <w:vAlign w:val="center"/>
          </w:tcPr>
          <w:p w:rsidR="00DE64B7" w:rsidRPr="00B750E1" w:rsidRDefault="00DE64B7" w:rsidP="00CE678F">
            <w:pPr>
              <w:spacing w:after="0" w:line="240" w:lineRule="exact"/>
              <w:rPr>
                <w:sz w:val="20"/>
                <w:szCs w:val="20"/>
              </w:rPr>
            </w:pPr>
            <w:r w:rsidRPr="00B750E1">
              <w:rPr>
                <w:rFonts w:eastAsia="Times New Roman"/>
                <w:sz w:val="20"/>
                <w:szCs w:val="20"/>
              </w:rPr>
              <w:t>Bộ Khoa học và Công nghệ</w:t>
            </w:r>
          </w:p>
        </w:tc>
        <w:tc>
          <w:tcPr>
            <w:tcW w:w="385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Hiệp hội nước mắm truyền thống phản ánh các Tiêu chuẩn và Quy chuẩn kỹ thuật quốc gia hiện hành đang cào bằng, không có căn cứ phân biệt giữa nước mắm truyền thống (ủ chượp tự nhiên, thời gian dài) và nước mắm công nghiệp (pha chế từ nước mắm nguyên liệu/bán thành phẩm với các loại phụ gia, hóa chất quy mô lớn, tốc độ nhanh). Nước mắm truyền thống vốn không sử dụng phẩm màu, hương liệu tổng hợp, chất bảo quản, chất tạo sánh và nhiều phụ gia khác như sản phẩm nước mắm pha chế/công nghiệp hiện nay, nên TCVN 5107: 2018 Nước mắm (với việc cho phép sử dụng các</w:t>
            </w:r>
          </w:p>
        </w:tc>
        <w:tc>
          <w:tcPr>
            <w:tcW w:w="311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Ban hành TCVN, QCVN riêng cho nước mắm truyền thống nhằm bảo vệ ngành nghề truyền thống lâu đời đã được công nhận là di sản văn hóa phi vật thể của Việt Nam (như nước mắm Phú Quốc, nước mắm Nam Ô).</w:t>
            </w:r>
          </w:p>
        </w:tc>
        <w:tc>
          <w:tcPr>
            <w:tcW w:w="182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Quyết định số 672/QĐ-BKHCN ngày 28/3/2018 của Bộ trưởng Bộ Khoa học và Công nghệ quyết định về việc công bố Tiêu chuẩn quốc gia TCVN 5107: 2018 Nước mắm.</w:t>
            </w:r>
          </w:p>
        </w:tc>
        <w:tc>
          <w:tcPr>
            <w:tcW w:w="2622" w:type="dxa"/>
            <w:shd w:val="clear" w:color="auto" w:fill="auto"/>
          </w:tcPr>
          <w:p w:rsidR="00DE64B7" w:rsidRPr="00B750E1" w:rsidRDefault="00DE64B7" w:rsidP="00DE64B7">
            <w:pPr>
              <w:spacing w:after="0" w:line="240" w:lineRule="exact"/>
              <w:rPr>
                <w:rFonts w:cs="Times New Roman"/>
                <w:color w:val="000000" w:themeColor="text1"/>
                <w:sz w:val="20"/>
                <w:szCs w:val="20"/>
              </w:rPr>
            </w:pPr>
            <w:r w:rsidRPr="00B750E1">
              <w:rPr>
                <w:rFonts w:cs="Times New Roman"/>
                <w:color w:val="000000" w:themeColor="text1"/>
                <w:sz w:val="20"/>
                <w:szCs w:val="20"/>
              </w:rPr>
              <w:t>Công văn số 3698/TĐC-PCTTra ngày 15/9/2026 của Ủy ban Tiêu chuẩn đo lường chất lượng quốc gia (Bộ Khoa học và Công nghệ) gửi VCCI, bao gồm nội dung trả lời kiến nghị của doanh nghiệp.</w:t>
            </w:r>
          </w:p>
        </w:tc>
      </w:tr>
      <w:tr w:rsidR="00DE64B7" w:rsidRPr="00B750E1" w:rsidTr="00B750E1">
        <w:trPr>
          <w:trHeight w:val="383"/>
        </w:trPr>
        <w:tc>
          <w:tcPr>
            <w:tcW w:w="744" w:type="dxa"/>
            <w:shd w:val="clear" w:color="auto" w:fill="auto"/>
            <w:noWrap/>
            <w:vAlign w:val="center"/>
          </w:tcPr>
          <w:p w:rsidR="00DE64B7" w:rsidRPr="00B750E1" w:rsidRDefault="00DE64B7" w:rsidP="00CE678F">
            <w:pPr>
              <w:spacing w:after="0" w:line="240" w:lineRule="exact"/>
              <w:jc w:val="center"/>
              <w:rPr>
                <w:rFonts w:cs="Times New Roman"/>
                <w:b/>
                <w:bCs/>
                <w:color w:val="000000" w:themeColor="text1"/>
                <w:sz w:val="20"/>
                <w:szCs w:val="20"/>
              </w:rPr>
            </w:pPr>
            <w:r>
              <w:rPr>
                <w:rFonts w:eastAsia="Times New Roman"/>
                <w:sz w:val="20"/>
              </w:rPr>
              <w:t>6</w:t>
            </w:r>
          </w:p>
        </w:tc>
        <w:tc>
          <w:tcPr>
            <w:tcW w:w="1873"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t>Hiệp hội nước mắm truyền thống</w:t>
            </w:r>
          </w:p>
        </w:tc>
        <w:tc>
          <w:tcPr>
            <w:tcW w:w="1105" w:type="dxa"/>
            <w:shd w:val="clear" w:color="auto" w:fill="auto"/>
            <w:vAlign w:val="center"/>
          </w:tcPr>
          <w:p w:rsidR="00DE64B7" w:rsidRPr="00B750E1" w:rsidRDefault="00DE64B7" w:rsidP="00CE678F">
            <w:pPr>
              <w:spacing w:after="0" w:line="240" w:lineRule="exact"/>
              <w:rPr>
                <w:sz w:val="20"/>
                <w:szCs w:val="20"/>
              </w:rPr>
            </w:pPr>
            <w:r w:rsidRPr="00B750E1">
              <w:rPr>
                <w:rFonts w:eastAsia="Times New Roman"/>
                <w:sz w:val="20"/>
                <w:szCs w:val="20"/>
              </w:rPr>
              <w:t xml:space="preserve">Bộ Khoa học và </w:t>
            </w:r>
            <w:r w:rsidRPr="00B750E1">
              <w:rPr>
                <w:rFonts w:eastAsia="Times New Roman"/>
                <w:sz w:val="20"/>
                <w:szCs w:val="20"/>
              </w:rPr>
              <w:lastRenderedPageBreak/>
              <w:t>Công nghệ</w:t>
            </w:r>
          </w:p>
        </w:tc>
        <w:tc>
          <w:tcPr>
            <w:tcW w:w="385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lastRenderedPageBreak/>
              <w:t xml:space="preserve">Hiệp hội nước mắm truyền thống phản ánh quy định về chỉ tiêu histamin trong tiêu </w:t>
            </w:r>
            <w:r w:rsidRPr="00B750E1">
              <w:rPr>
                <w:rFonts w:cs="Times New Roman"/>
                <w:sz w:val="20"/>
                <w:szCs w:val="20"/>
              </w:rPr>
              <w:lastRenderedPageBreak/>
              <w:t>chuẩn quốc tế Codex Stand 302-2011. Fish sauce của Ủy ban Codex quốc tế hiện đang là rào cản kỹ thuật lớn, làm hạn chế cơ hội thúc đẩy tăng trưởng xuất khẩu nước mắm truyền thống. Trong khi đó, thực tế sản xuất cho thấy sự xuất hiện của histamin trong nước mắm truyền thống dù ở nồng độ nào cũng không gây mất ATTP.</w:t>
            </w:r>
          </w:p>
        </w:tc>
        <w:tc>
          <w:tcPr>
            <w:tcW w:w="3111" w:type="dxa"/>
            <w:shd w:val="clear" w:color="auto" w:fill="auto"/>
            <w:vAlign w:val="center"/>
          </w:tcPr>
          <w:p w:rsidR="00DE64B7" w:rsidRPr="00B750E1" w:rsidRDefault="00DE64B7" w:rsidP="00CE678F">
            <w:pPr>
              <w:spacing w:after="0" w:line="240" w:lineRule="exact"/>
              <w:rPr>
                <w:sz w:val="20"/>
                <w:szCs w:val="20"/>
              </w:rPr>
            </w:pPr>
            <w:r w:rsidRPr="00B750E1">
              <w:rPr>
                <w:rFonts w:cs="Times New Roman"/>
                <w:sz w:val="20"/>
                <w:szCs w:val="20"/>
              </w:rPr>
              <w:lastRenderedPageBreak/>
              <w:t xml:space="preserve">Cần làm rõ trên cơ sở khoa học về việc sự xuất hiện của histamin </w:t>
            </w:r>
            <w:r w:rsidRPr="00B750E1">
              <w:rPr>
                <w:rFonts w:cs="Times New Roman"/>
                <w:sz w:val="20"/>
                <w:szCs w:val="20"/>
              </w:rPr>
              <w:lastRenderedPageBreak/>
              <w:t>trong nước mắm truyền thống dù ở nồng độ thực tế nào cũng không gây mất ATTP, từ đó làm cơ sở khoa học kiến nghị Ủy ban Codex quốc tế thay đổi quy định về histamin trong tiêu chuẩn Codex Stand 302-2011.</w:t>
            </w:r>
          </w:p>
        </w:tc>
        <w:tc>
          <w:tcPr>
            <w:tcW w:w="1823" w:type="dxa"/>
            <w:shd w:val="clear" w:color="auto" w:fill="auto"/>
            <w:vAlign w:val="center"/>
          </w:tcPr>
          <w:p w:rsidR="00DE64B7" w:rsidRPr="00B750E1" w:rsidRDefault="00DE64B7" w:rsidP="00CE678F">
            <w:pPr>
              <w:spacing w:after="0" w:line="240" w:lineRule="exact"/>
              <w:rPr>
                <w:sz w:val="20"/>
                <w:szCs w:val="20"/>
              </w:rPr>
            </w:pPr>
          </w:p>
        </w:tc>
        <w:tc>
          <w:tcPr>
            <w:tcW w:w="2622" w:type="dxa"/>
            <w:shd w:val="clear" w:color="auto" w:fill="auto"/>
          </w:tcPr>
          <w:p w:rsidR="00DE64B7" w:rsidRPr="00B750E1" w:rsidRDefault="00DE64B7" w:rsidP="00DE64B7">
            <w:pPr>
              <w:spacing w:after="0" w:line="240" w:lineRule="exact"/>
              <w:rPr>
                <w:rFonts w:cs="Times New Roman"/>
                <w:color w:val="000000" w:themeColor="text1"/>
                <w:sz w:val="20"/>
                <w:szCs w:val="20"/>
              </w:rPr>
            </w:pPr>
            <w:r w:rsidRPr="00B750E1">
              <w:rPr>
                <w:rFonts w:cs="Times New Roman"/>
                <w:color w:val="000000" w:themeColor="text1"/>
                <w:sz w:val="20"/>
                <w:szCs w:val="20"/>
              </w:rPr>
              <w:t xml:space="preserve">Công văn số 3698/TĐC-PCTTra ngày 15/9/2026 của </w:t>
            </w:r>
            <w:r w:rsidRPr="00B750E1">
              <w:rPr>
                <w:rFonts w:cs="Times New Roman"/>
                <w:color w:val="000000" w:themeColor="text1"/>
                <w:sz w:val="20"/>
                <w:szCs w:val="20"/>
              </w:rPr>
              <w:lastRenderedPageBreak/>
              <w:t>Ủy ban Tiêu chuẩn đo lường chất lượng quốc gia (Bộ Khoa học và Công nghệ) gửi VCCI, bao gồm nội dung trả lời kiến nghị của doanh nghiệp.</w:t>
            </w:r>
          </w:p>
        </w:tc>
      </w:tr>
    </w:tbl>
    <w:p w:rsidR="00CE678F" w:rsidRPr="00FF67EC" w:rsidRDefault="00CE678F">
      <w:pPr>
        <w:rPr>
          <w:sz w:val="20"/>
          <w:szCs w:val="20"/>
        </w:rPr>
      </w:pPr>
    </w:p>
    <w:sectPr w:rsidR="00CE678F" w:rsidRPr="00FF67EC" w:rsidSect="00CE678F">
      <w:headerReference w:type="default" r:id="rId7"/>
      <w:headerReference w:type="first" r:id="rId8"/>
      <w:pgSz w:w="15840" w:h="12240" w:orient="landscape"/>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137" w:rsidRDefault="001C5137">
      <w:pPr>
        <w:spacing w:after="0" w:line="240" w:lineRule="auto"/>
      </w:pPr>
      <w:r>
        <w:separator/>
      </w:r>
    </w:p>
  </w:endnote>
  <w:endnote w:type="continuationSeparator" w:id="0">
    <w:p w:rsidR="001C5137" w:rsidRDefault="001C5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E0000AFF"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137" w:rsidRDefault="001C5137">
      <w:pPr>
        <w:spacing w:after="0" w:line="240" w:lineRule="auto"/>
      </w:pPr>
      <w:r>
        <w:separator/>
      </w:r>
    </w:p>
  </w:footnote>
  <w:footnote w:type="continuationSeparator" w:id="0">
    <w:p w:rsidR="001C5137" w:rsidRDefault="001C5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3296954"/>
    </w:sdtPr>
    <w:sdtEndPr/>
    <w:sdtContent>
      <w:p w:rsidR="00DE64B7" w:rsidRDefault="00795538">
        <w:pPr>
          <w:pStyle w:val="Header"/>
          <w:jc w:val="center"/>
        </w:pPr>
        <w:r>
          <w:fldChar w:fldCharType="begin"/>
        </w:r>
        <w:r>
          <w:instrText xml:space="preserve"> PAGE   \* MERGEFORMAT </w:instrText>
        </w:r>
        <w:r>
          <w:fldChar w:fldCharType="separate"/>
        </w:r>
        <w:r w:rsidR="00405D5C">
          <w:rPr>
            <w:noProof/>
          </w:rPr>
          <w:t>20</w:t>
        </w:r>
        <w:r>
          <w:rPr>
            <w:noProof/>
          </w:rPr>
          <w:fldChar w:fldCharType="end"/>
        </w:r>
      </w:p>
    </w:sdtContent>
  </w:sdt>
  <w:p w:rsidR="00DE64B7" w:rsidRDefault="00DE6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7116130"/>
      <w:showingPlcHdr/>
    </w:sdtPr>
    <w:sdtEndPr/>
    <w:sdtContent>
      <w:p w:rsidR="00DE64B7" w:rsidRDefault="00DE64B7">
        <w:pPr>
          <w:pStyle w:val="Header"/>
          <w:jc w:val="center"/>
        </w:pPr>
        <w:r>
          <w:t xml:space="preserve">     </w:t>
        </w:r>
      </w:p>
    </w:sdtContent>
  </w:sdt>
  <w:p w:rsidR="00DE64B7" w:rsidRDefault="00DE6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375C3"/>
    <w:multiLevelType w:val="multilevel"/>
    <w:tmpl w:val="283375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678F"/>
    <w:rsid w:val="001B3C54"/>
    <w:rsid w:val="001C5137"/>
    <w:rsid w:val="003D57DB"/>
    <w:rsid w:val="00405D5C"/>
    <w:rsid w:val="00614AD7"/>
    <w:rsid w:val="00795538"/>
    <w:rsid w:val="008D1102"/>
    <w:rsid w:val="00964B13"/>
    <w:rsid w:val="00AF55E9"/>
    <w:rsid w:val="00B750E1"/>
    <w:rsid w:val="00CC0BD3"/>
    <w:rsid w:val="00CE678F"/>
    <w:rsid w:val="00DE64B7"/>
    <w:rsid w:val="00EE7120"/>
    <w:rsid w:val="00FF6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9E2C"/>
  <w15:docId w15:val="{E1B0D1D9-06D5-4FF5-956E-EEE9C2C0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78F"/>
    <w:pPr>
      <w:spacing w:after="120"/>
      <w:jc w:val="both"/>
    </w:pPr>
    <w:rPr>
      <w:rFonts w:ascii="Times New Roman" w:hAnsi="Times New Roman"/>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78F"/>
    <w:rPr>
      <w:rFonts w:ascii="Times New Roman" w:hAnsi="Times New Roman"/>
      <w:kern w:val="2"/>
      <w:sz w:val="28"/>
      <w:szCs w:val="24"/>
    </w:rPr>
  </w:style>
  <w:style w:type="paragraph" w:styleId="NormalWeb">
    <w:name w:val="Normal (Web)"/>
    <w:basedOn w:val="Normal"/>
    <w:uiPriority w:val="99"/>
    <w:unhideWhenUsed/>
    <w:rsid w:val="00CE678F"/>
    <w:pPr>
      <w:spacing w:before="100" w:beforeAutospacing="1" w:after="100" w:afterAutospacing="1" w:line="240" w:lineRule="auto"/>
      <w:jc w:val="left"/>
    </w:pPr>
    <w:rPr>
      <w:rFonts w:eastAsia="Times New Roman" w:cs="Times New Roman"/>
      <w:kern w:val="0"/>
      <w:sz w:val="24"/>
    </w:rPr>
  </w:style>
  <w:style w:type="paragraph" w:styleId="ListParagraph">
    <w:name w:val="List Paragraph"/>
    <w:basedOn w:val="Normal"/>
    <w:link w:val="ListParagraphChar"/>
    <w:qFormat/>
    <w:rsid w:val="00CE678F"/>
    <w:pPr>
      <w:ind w:left="720"/>
      <w:contextualSpacing/>
    </w:pPr>
  </w:style>
  <w:style w:type="character" w:customStyle="1" w:styleId="ListParagraphChar">
    <w:name w:val="List Paragraph Char"/>
    <w:link w:val="ListParagraph"/>
    <w:qFormat/>
    <w:locked/>
    <w:rsid w:val="00CE678F"/>
    <w:rPr>
      <w:rFonts w:ascii="Times New Roman" w:hAnsi="Times New Roman"/>
      <w:kern w:val="2"/>
      <w:sz w:val="28"/>
      <w:szCs w:val="24"/>
    </w:rPr>
  </w:style>
  <w:style w:type="paragraph" w:styleId="BalloonText">
    <w:name w:val="Balloon Text"/>
    <w:basedOn w:val="Normal"/>
    <w:link w:val="BalloonTextChar"/>
    <w:uiPriority w:val="99"/>
    <w:semiHidden/>
    <w:unhideWhenUsed/>
    <w:rsid w:val="00CE6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78F"/>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tavuduyanh</dc:creator>
  <cp:lastModifiedBy>User1</cp:lastModifiedBy>
  <cp:revision>6</cp:revision>
  <dcterms:created xsi:type="dcterms:W3CDTF">2026-09-23T01:43:00Z</dcterms:created>
  <dcterms:modified xsi:type="dcterms:W3CDTF">2026-10-02T08:38:00Z</dcterms:modified>
</cp:coreProperties>
</file>