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05BE" w:rsidRPr="00C94812" w:rsidRDefault="00A105BE" w:rsidP="003723D2">
      <w:pPr>
        <w:spacing w:after="0" w:line="240" w:lineRule="auto"/>
        <w:jc w:val="center"/>
        <w:rPr>
          <w:b/>
          <w:iCs/>
          <w:color w:val="000000" w:themeColor="text1"/>
        </w:rPr>
      </w:pPr>
      <w:r w:rsidRPr="00C94812">
        <w:rPr>
          <w:b/>
          <w:iCs/>
          <w:color w:val="000000" w:themeColor="text1"/>
        </w:rPr>
        <w:t>Phụ lục I</w:t>
      </w:r>
    </w:p>
    <w:p w:rsidR="001A09AB" w:rsidRPr="00C94812" w:rsidRDefault="001A09AB" w:rsidP="003723D2">
      <w:pPr>
        <w:spacing w:after="0" w:line="240" w:lineRule="auto"/>
        <w:jc w:val="center"/>
        <w:rPr>
          <w:rFonts w:ascii="Times New Roman Bold" w:hAnsi="Times New Roman Bold" w:cs="Times New Roman"/>
          <w:b/>
          <w:iCs/>
          <w:color w:val="000000" w:themeColor="text1"/>
          <w:spacing w:val="-8"/>
          <w:szCs w:val="28"/>
        </w:rPr>
      </w:pPr>
      <w:r w:rsidRPr="00C94812">
        <w:rPr>
          <w:b/>
          <w:iCs/>
          <w:color w:val="000000" w:themeColor="text1"/>
        </w:rPr>
        <w:t>KẾT QUẢ XỬ LÝ KIẾN NGHỊ TẠI HỘI NGHỊ THƯỜNG TRỰC CHÍNH PHỦ VỚI CỘNG ĐỒNG DOANH NGHIỆP NGÀY 18/7/2026</w:t>
      </w:r>
    </w:p>
    <w:p w:rsidR="008A0CE2" w:rsidRPr="00C94812" w:rsidRDefault="001A09AB" w:rsidP="003723D2">
      <w:pPr>
        <w:spacing w:after="0" w:line="240" w:lineRule="auto"/>
        <w:jc w:val="center"/>
        <w:rPr>
          <w:rFonts w:cs="Times New Roman"/>
          <w:b/>
          <w:iCs/>
          <w:color w:val="000000" w:themeColor="text1"/>
        </w:rPr>
      </w:pPr>
      <w:r w:rsidRPr="00C94812">
        <w:rPr>
          <w:b/>
          <w:iCs/>
          <w:color w:val="000000" w:themeColor="text1"/>
        </w:rPr>
        <w:t>(04 NỘI DUNG)</w:t>
      </w:r>
    </w:p>
    <w:p w:rsidR="008A0CE2" w:rsidRPr="00C94812" w:rsidRDefault="003723D2" w:rsidP="003723D2">
      <w:pPr>
        <w:spacing w:after="0" w:line="240" w:lineRule="auto"/>
        <w:rPr>
          <w:rFonts w:cs="Times New Roman"/>
          <w:i/>
          <w:iCs/>
          <w:color w:val="000000" w:themeColor="text1"/>
        </w:rPr>
      </w:pPr>
      <w:r>
        <w:rPr>
          <w:rFonts w:cs="Times New Roman"/>
          <w:i/>
          <w:iCs/>
          <w:noProof/>
          <w:color w:val="000000" w:themeColor="text1"/>
        </w:rPr>
        <w:pict>
          <v:shapetype id="_x0000_t32" coordsize="21600,21600" o:spt="32" o:oned="t" path="m,l21600,21600e" filled="f">
            <v:path arrowok="t" fillok="f" o:connecttype="none"/>
            <o:lock v:ext="edit" shapetype="t"/>
          </v:shapetype>
          <v:shape id="AutoShape 2" o:spid="_x0000_s1026" type="#_x0000_t32" style="position:absolute;left:0;text-align:left;margin-left:282.75pt;margin-top:6.85pt;width:98.25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"/>
        </w:pict>
      </w:r>
      <w:bookmarkStart w:id="0" w:name="_GoBack"/>
      <w:bookmarkEnd w:id="0"/>
    </w:p>
    <w:p w:rsidR="008A0CE2" w:rsidRPr="00C94812" w:rsidRDefault="008A0CE2" w:rsidP="008A0CE2">
      <w:pPr>
        <w:spacing w:after="0" w:line="240" w:lineRule="auto"/>
        <w:jc w:val="center"/>
        <w:rPr>
          <w:rFonts w:cs="Times New Roman"/>
          <w:i/>
          <w:iCs/>
          <w:color w:val="000000" w:themeColor="text1"/>
        </w:rPr>
      </w:pPr>
    </w:p>
    <w:tbl>
      <w:tblPr>
        <w:tblW w:w="15345" w:type="dxa"/>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1800"/>
        <w:gridCol w:w="2070"/>
        <w:gridCol w:w="2624"/>
        <w:gridCol w:w="1559"/>
        <w:gridCol w:w="3969"/>
        <w:gridCol w:w="2693"/>
      </w:tblGrid>
      <w:tr w:rsidR="008A0CE2" w:rsidRPr="00C94812" w:rsidTr="00C84E96">
        <w:trPr>
          <w:trHeight w:val="530"/>
          <w:tblHeader/>
        </w:trPr>
        <w:tc>
          <w:tcPr>
            <w:tcW w:w="630" w:type="dxa"/>
            <w:vMerge w:val="restart"/>
            <w:shd w:val="clear" w:color="FFFFFF" w:fill="FFFFFF"/>
            <w:noWrap/>
            <w:vAlign w:val="center"/>
            <w:hideMark/>
          </w:tcPr>
          <w:p w:rsidR="008A0CE2" w:rsidRPr="00C94812" w:rsidRDefault="008A0CE2" w:rsidP="00C84E96">
            <w:pPr>
              <w:spacing w:after="0" w:line="240" w:lineRule="auto"/>
              <w:jc w:val="center"/>
              <w:rPr>
                <w:rFonts w:eastAsia="Times New Roman" w:cs="Times New Roman"/>
                <w:b/>
                <w:bCs/>
                <w:color w:val="000000"/>
                <w:kern w:val="0"/>
                <w:sz w:val="20"/>
                <w:szCs w:val="20"/>
                <w:lang w:eastAsia="vi-VN"/>
              </w:rPr>
            </w:pPr>
            <w:r w:rsidRPr="00C94812">
              <w:rPr>
                <w:rFonts w:eastAsia="Times New Roman" w:cs="Times New Roman"/>
                <w:b/>
                <w:bCs/>
                <w:color w:val="000000"/>
                <w:kern w:val="0"/>
                <w:sz w:val="20"/>
                <w:szCs w:val="20"/>
                <w:lang w:eastAsia="vi-VN"/>
              </w:rPr>
              <w:t>STT</w:t>
            </w:r>
          </w:p>
        </w:tc>
        <w:tc>
          <w:tcPr>
            <w:tcW w:w="6494" w:type="dxa"/>
            <w:gridSpan w:val="3"/>
            <w:shd w:val="clear" w:color="FFFFFF" w:fill="FFFFFF"/>
            <w:vAlign w:val="center"/>
          </w:tcPr>
          <w:p w:rsidR="008A0CE2" w:rsidRPr="00C94812" w:rsidRDefault="008A0CE2" w:rsidP="00C84E96">
            <w:pPr>
              <w:spacing w:after="0" w:line="240" w:lineRule="auto"/>
              <w:jc w:val="center"/>
              <w:rPr>
                <w:rFonts w:eastAsia="Times New Roman" w:cs="Times New Roman"/>
                <w:b/>
                <w:bCs/>
                <w:color w:val="000000"/>
                <w:kern w:val="0"/>
                <w:sz w:val="20"/>
                <w:szCs w:val="20"/>
                <w:lang w:eastAsia="vi-VN"/>
              </w:rPr>
            </w:pPr>
            <w:r w:rsidRPr="00C94812">
              <w:rPr>
                <w:rFonts w:eastAsia="Times New Roman" w:cs="Times New Roman"/>
                <w:b/>
                <w:bCs/>
                <w:color w:val="000000"/>
                <w:kern w:val="0"/>
                <w:sz w:val="20"/>
                <w:szCs w:val="20"/>
                <w:lang w:eastAsia="vi-VN"/>
              </w:rPr>
              <w:t xml:space="preserve">NỘI DUNG DOANH NGHIỆP, HIỆP HỘI PHẢN ÁNH, </w:t>
            </w:r>
            <w:r w:rsidRPr="00C94812">
              <w:rPr>
                <w:rFonts w:eastAsia="Times New Roman" w:cs="Times New Roman"/>
                <w:b/>
                <w:bCs/>
                <w:color w:val="000000"/>
                <w:kern w:val="0"/>
                <w:sz w:val="20"/>
                <w:szCs w:val="20"/>
                <w:lang w:eastAsia="vi-VN"/>
              </w:rPr>
              <w:br/>
              <w:t>ĐỀ XUẤT</w:t>
            </w:r>
          </w:p>
        </w:tc>
        <w:tc>
          <w:tcPr>
            <w:tcW w:w="1559" w:type="dxa"/>
            <w:vMerge w:val="restart"/>
            <w:shd w:val="clear" w:color="FFFFFF" w:fill="FFFFFF"/>
            <w:noWrap/>
            <w:vAlign w:val="center"/>
            <w:hideMark/>
          </w:tcPr>
          <w:p w:rsidR="008A0CE2" w:rsidRPr="00C94812" w:rsidRDefault="008A0CE2" w:rsidP="00C84E96">
            <w:pPr>
              <w:spacing w:after="0" w:line="240" w:lineRule="auto"/>
              <w:jc w:val="center"/>
              <w:rPr>
                <w:rFonts w:eastAsia="Times New Roman" w:cs="Times New Roman"/>
                <w:b/>
                <w:bCs/>
                <w:color w:val="000000"/>
                <w:kern w:val="0"/>
                <w:sz w:val="20"/>
                <w:szCs w:val="20"/>
                <w:lang w:eastAsia="vi-VN"/>
              </w:rPr>
            </w:pPr>
            <w:r w:rsidRPr="00C94812">
              <w:rPr>
                <w:rFonts w:eastAsia="Times New Roman" w:cs="Times New Roman"/>
                <w:b/>
                <w:bCs/>
                <w:color w:val="000000"/>
                <w:kern w:val="0"/>
                <w:sz w:val="20"/>
                <w:szCs w:val="20"/>
                <w:lang w:val="vi-VN" w:eastAsia="vi-VN"/>
              </w:rPr>
              <w:t>Bộ, ngành chịu trách nhiệm xử lý</w:t>
            </w:r>
          </w:p>
        </w:tc>
        <w:tc>
          <w:tcPr>
            <w:tcW w:w="3969" w:type="dxa"/>
            <w:vMerge w:val="restart"/>
            <w:shd w:val="clear" w:color="FFFFFF" w:fill="FFFFFF"/>
            <w:vAlign w:val="center"/>
          </w:tcPr>
          <w:p w:rsidR="008A0CE2" w:rsidRPr="00C94812" w:rsidRDefault="008A0CE2" w:rsidP="00C84E96">
            <w:pPr>
              <w:spacing w:after="0" w:line="240" w:lineRule="auto"/>
              <w:jc w:val="center"/>
              <w:rPr>
                <w:rFonts w:eastAsia="Times New Roman" w:cs="Times New Roman"/>
                <w:b/>
                <w:bCs/>
                <w:kern w:val="0"/>
                <w:sz w:val="20"/>
                <w:szCs w:val="20"/>
                <w:lang w:eastAsia="vi-VN"/>
              </w:rPr>
            </w:pPr>
            <w:r w:rsidRPr="00C94812">
              <w:rPr>
                <w:rFonts w:eastAsia="Times New Roman" w:cs="Times New Roman"/>
                <w:b/>
                <w:bCs/>
                <w:kern w:val="0"/>
                <w:sz w:val="20"/>
                <w:szCs w:val="20"/>
                <w:lang w:eastAsia="vi-VN"/>
              </w:rPr>
              <w:t xml:space="preserve">Tóm tắt tình hình, kết quả </w:t>
            </w:r>
            <w:r w:rsidRPr="00C94812">
              <w:rPr>
                <w:rFonts w:eastAsia="Times New Roman" w:cs="Times New Roman"/>
                <w:b/>
                <w:bCs/>
                <w:kern w:val="0"/>
                <w:sz w:val="20"/>
                <w:szCs w:val="20"/>
                <w:lang w:eastAsia="vi-VN"/>
              </w:rPr>
              <w:br/>
              <w:t>xử lý (ngày 18/7/2026)</w:t>
            </w:r>
          </w:p>
        </w:tc>
        <w:tc>
          <w:tcPr>
            <w:tcW w:w="2693" w:type="dxa"/>
            <w:vMerge w:val="restart"/>
            <w:shd w:val="clear" w:color="FFFFFF" w:fill="FFFFFF"/>
          </w:tcPr>
          <w:p w:rsidR="008A0CE2" w:rsidRPr="00C94812" w:rsidRDefault="008A0CE2" w:rsidP="00C84E96">
            <w:pPr>
              <w:spacing w:before="360" w:after="0" w:line="240" w:lineRule="auto"/>
              <w:jc w:val="center"/>
              <w:rPr>
                <w:rFonts w:eastAsia="Times New Roman" w:cs="Times New Roman"/>
                <w:b/>
                <w:bCs/>
                <w:kern w:val="0"/>
                <w:sz w:val="20"/>
                <w:szCs w:val="20"/>
                <w:lang w:eastAsia="vi-VN"/>
              </w:rPr>
            </w:pPr>
            <w:r w:rsidRPr="00C94812">
              <w:rPr>
                <w:rFonts w:eastAsia="Times New Roman" w:cs="Times New Roman"/>
                <w:b/>
                <w:bCs/>
                <w:kern w:val="0"/>
                <w:sz w:val="20"/>
                <w:szCs w:val="20"/>
                <w:lang w:eastAsia="vi-VN"/>
              </w:rPr>
              <w:t xml:space="preserve">Tình hình </w:t>
            </w:r>
            <w:r w:rsidR="00AB65CE" w:rsidRPr="00C94812">
              <w:rPr>
                <w:rFonts w:eastAsia="Times New Roman" w:cs="Times New Roman"/>
                <w:b/>
                <w:bCs/>
                <w:kern w:val="0"/>
                <w:sz w:val="20"/>
                <w:szCs w:val="20"/>
                <w:lang w:eastAsia="vi-VN"/>
              </w:rPr>
              <w:t>xử lý kiến nghị</w:t>
            </w:r>
            <w:r w:rsidRPr="00C94812">
              <w:rPr>
                <w:rFonts w:eastAsia="Times New Roman" w:cs="Times New Roman"/>
                <w:b/>
                <w:bCs/>
                <w:kern w:val="0"/>
                <w:sz w:val="20"/>
                <w:szCs w:val="20"/>
                <w:lang w:eastAsia="vi-VN"/>
              </w:rPr>
              <w:t xml:space="preserve"> </w:t>
            </w:r>
          </w:p>
        </w:tc>
      </w:tr>
      <w:tr w:rsidR="008A0CE2" w:rsidRPr="00C94812" w:rsidTr="00C84E96">
        <w:trPr>
          <w:trHeight w:val="638"/>
          <w:tblHeader/>
        </w:trPr>
        <w:tc>
          <w:tcPr>
            <w:tcW w:w="630" w:type="dxa"/>
            <w:vMerge/>
            <w:shd w:val="clear" w:color="FFFFFF" w:fill="FFFFFF"/>
            <w:noWrap/>
            <w:vAlign w:val="center"/>
          </w:tcPr>
          <w:p w:rsidR="008A0CE2" w:rsidRPr="00C94812" w:rsidRDefault="008A0CE2" w:rsidP="00C84E96">
            <w:pPr>
              <w:spacing w:after="0" w:line="240" w:lineRule="auto"/>
              <w:jc w:val="center"/>
              <w:rPr>
                <w:rFonts w:eastAsia="Times New Roman" w:cs="Times New Roman"/>
                <w:b/>
                <w:bCs/>
                <w:color w:val="000000"/>
                <w:kern w:val="0"/>
                <w:sz w:val="20"/>
                <w:szCs w:val="20"/>
                <w:lang w:eastAsia="vi-VN"/>
              </w:rPr>
            </w:pPr>
          </w:p>
        </w:tc>
        <w:tc>
          <w:tcPr>
            <w:tcW w:w="1800" w:type="dxa"/>
            <w:shd w:val="clear" w:color="FFFFFF" w:fill="FFFFFF"/>
            <w:vAlign w:val="center"/>
          </w:tcPr>
          <w:p w:rsidR="008A0CE2" w:rsidRPr="00C94812" w:rsidRDefault="008A0CE2" w:rsidP="00C84E96">
            <w:pPr>
              <w:spacing w:after="0" w:line="240" w:lineRule="auto"/>
              <w:jc w:val="center"/>
              <w:rPr>
                <w:rFonts w:eastAsia="Times New Roman" w:cs="Times New Roman"/>
                <w:b/>
                <w:bCs/>
                <w:color w:val="000000"/>
                <w:spacing w:val="-8"/>
                <w:kern w:val="0"/>
                <w:sz w:val="20"/>
                <w:szCs w:val="20"/>
                <w:lang w:val="vi-VN" w:eastAsia="vi-VN"/>
              </w:rPr>
            </w:pPr>
            <w:r w:rsidRPr="00C94812">
              <w:rPr>
                <w:rFonts w:eastAsia="Times New Roman" w:cs="Times New Roman"/>
                <w:b/>
                <w:bCs/>
                <w:color w:val="000000"/>
                <w:spacing w:val="-8"/>
                <w:kern w:val="0"/>
                <w:sz w:val="20"/>
                <w:szCs w:val="20"/>
                <w:lang w:eastAsia="vi-VN"/>
              </w:rPr>
              <w:t xml:space="preserve">Tên đơn vị phản ánh , kiến nghị </w:t>
            </w:r>
          </w:p>
        </w:tc>
        <w:tc>
          <w:tcPr>
            <w:tcW w:w="2070" w:type="dxa"/>
            <w:shd w:val="clear" w:color="FFFFFF" w:fill="FFFFFF"/>
            <w:vAlign w:val="center"/>
          </w:tcPr>
          <w:p w:rsidR="008A0CE2" w:rsidRPr="00C94812" w:rsidRDefault="008A0CE2" w:rsidP="00C84E96">
            <w:pPr>
              <w:spacing w:after="0" w:line="240" w:lineRule="auto"/>
              <w:jc w:val="center"/>
              <w:rPr>
                <w:rFonts w:eastAsia="Times New Roman" w:cs="Times New Roman"/>
                <w:b/>
                <w:bCs/>
                <w:color w:val="000000"/>
                <w:kern w:val="0"/>
                <w:sz w:val="20"/>
                <w:szCs w:val="20"/>
                <w:lang w:eastAsia="vi-VN"/>
              </w:rPr>
            </w:pPr>
            <w:r w:rsidRPr="00C94812">
              <w:rPr>
                <w:rFonts w:eastAsia="Times New Roman" w:cs="Times New Roman"/>
                <w:b/>
                <w:bCs/>
                <w:color w:val="000000"/>
                <w:kern w:val="0"/>
                <w:sz w:val="20"/>
                <w:szCs w:val="20"/>
                <w:lang w:val="vi-VN" w:eastAsia="vi-VN"/>
              </w:rPr>
              <w:t>Vấn đề</w:t>
            </w:r>
            <w:r w:rsidRPr="00C94812">
              <w:rPr>
                <w:rFonts w:eastAsia="Times New Roman" w:cs="Times New Roman"/>
                <w:b/>
                <w:bCs/>
                <w:color w:val="000000"/>
                <w:kern w:val="0"/>
                <w:sz w:val="20"/>
                <w:szCs w:val="20"/>
                <w:lang w:eastAsia="vi-VN"/>
              </w:rPr>
              <w:t xml:space="preserve"> phản ánh</w:t>
            </w:r>
          </w:p>
        </w:tc>
        <w:tc>
          <w:tcPr>
            <w:tcW w:w="2624" w:type="dxa"/>
            <w:shd w:val="clear" w:color="FFFFFF" w:fill="FFFFFF"/>
            <w:noWrap/>
            <w:vAlign w:val="center"/>
          </w:tcPr>
          <w:p w:rsidR="008A0CE2" w:rsidRPr="00C94812" w:rsidRDefault="008A0CE2" w:rsidP="00C84E96">
            <w:pPr>
              <w:spacing w:after="0" w:line="240" w:lineRule="auto"/>
              <w:jc w:val="center"/>
              <w:rPr>
                <w:rFonts w:eastAsia="Times New Roman" w:cs="Times New Roman"/>
                <w:b/>
                <w:bCs/>
                <w:color w:val="000000"/>
                <w:kern w:val="0"/>
                <w:sz w:val="20"/>
                <w:szCs w:val="20"/>
                <w:lang w:eastAsia="vi-VN"/>
              </w:rPr>
            </w:pPr>
            <w:r w:rsidRPr="00C94812">
              <w:rPr>
                <w:rFonts w:eastAsia="Times New Roman" w:cs="Times New Roman"/>
                <w:b/>
                <w:bCs/>
                <w:color w:val="000000"/>
                <w:kern w:val="0"/>
                <w:sz w:val="20"/>
                <w:szCs w:val="20"/>
                <w:lang w:val="vi-VN" w:eastAsia="vi-VN"/>
              </w:rPr>
              <w:t xml:space="preserve">Giải pháp/Kiến nghị </w:t>
            </w:r>
            <w:r w:rsidRPr="00C94812">
              <w:rPr>
                <w:rFonts w:eastAsia="Times New Roman" w:cs="Times New Roman"/>
                <w:b/>
                <w:bCs/>
                <w:color w:val="000000"/>
                <w:kern w:val="0"/>
                <w:sz w:val="20"/>
                <w:szCs w:val="20"/>
                <w:lang w:eastAsia="vi-VN"/>
              </w:rPr>
              <w:br/>
            </w:r>
            <w:r w:rsidRPr="00C94812">
              <w:rPr>
                <w:rFonts w:eastAsia="Times New Roman" w:cs="Times New Roman"/>
                <w:b/>
                <w:bCs/>
                <w:color w:val="000000"/>
                <w:kern w:val="0"/>
                <w:sz w:val="20"/>
                <w:szCs w:val="20"/>
                <w:lang w:val="vi-VN" w:eastAsia="vi-VN"/>
              </w:rPr>
              <w:t>đề xuất</w:t>
            </w:r>
          </w:p>
        </w:tc>
        <w:tc>
          <w:tcPr>
            <w:tcW w:w="1559" w:type="dxa"/>
            <w:vMerge/>
            <w:shd w:val="clear" w:color="FFFFFF" w:fill="FFFFFF"/>
            <w:noWrap/>
            <w:vAlign w:val="center"/>
          </w:tcPr>
          <w:p w:rsidR="008A0CE2" w:rsidRPr="00C94812" w:rsidRDefault="008A0CE2" w:rsidP="00C84E96">
            <w:pPr>
              <w:spacing w:after="0" w:line="240" w:lineRule="auto"/>
              <w:jc w:val="center"/>
              <w:rPr>
                <w:rFonts w:eastAsia="Times New Roman" w:cs="Times New Roman"/>
                <w:b/>
                <w:bCs/>
                <w:color w:val="000000"/>
                <w:kern w:val="0"/>
                <w:sz w:val="20"/>
                <w:szCs w:val="20"/>
                <w:lang w:val="vi-VN" w:eastAsia="vi-VN"/>
              </w:rPr>
            </w:pPr>
          </w:p>
        </w:tc>
        <w:tc>
          <w:tcPr>
            <w:tcW w:w="3969" w:type="dxa"/>
            <w:vMerge/>
            <w:shd w:val="clear" w:color="FFFFFF" w:fill="FFFFFF"/>
          </w:tcPr>
          <w:p w:rsidR="008A0CE2" w:rsidRPr="00C94812" w:rsidRDefault="008A0CE2" w:rsidP="00C84E96">
            <w:pPr>
              <w:spacing w:after="0" w:line="240" w:lineRule="auto"/>
              <w:jc w:val="center"/>
              <w:rPr>
                <w:rFonts w:eastAsia="Times New Roman" w:cs="Times New Roman"/>
                <w:b/>
                <w:bCs/>
                <w:color w:val="000000"/>
                <w:kern w:val="0"/>
                <w:sz w:val="20"/>
                <w:szCs w:val="20"/>
                <w:lang w:val="vi-VN" w:eastAsia="vi-VN"/>
              </w:rPr>
            </w:pPr>
          </w:p>
        </w:tc>
        <w:tc>
          <w:tcPr>
            <w:tcW w:w="2693" w:type="dxa"/>
            <w:vMerge/>
            <w:shd w:val="clear" w:color="FFFFFF" w:fill="FFFFFF"/>
          </w:tcPr>
          <w:p w:rsidR="008A0CE2" w:rsidRPr="00C94812" w:rsidRDefault="008A0CE2" w:rsidP="00C84E96">
            <w:pPr>
              <w:spacing w:after="0" w:line="240" w:lineRule="auto"/>
              <w:jc w:val="center"/>
              <w:rPr>
                <w:rFonts w:eastAsia="Times New Roman" w:cs="Times New Roman"/>
                <w:b/>
                <w:bCs/>
                <w:color w:val="000000"/>
                <w:kern w:val="0"/>
                <w:sz w:val="20"/>
                <w:szCs w:val="20"/>
                <w:lang w:val="vi-VN" w:eastAsia="vi-VN"/>
              </w:rPr>
            </w:pPr>
          </w:p>
        </w:tc>
      </w:tr>
      <w:tr w:rsidR="008A0CE2" w:rsidRPr="00C94812" w:rsidTr="00C84E96">
        <w:trPr>
          <w:trHeight w:val="314"/>
          <w:tblHeader/>
        </w:trPr>
        <w:tc>
          <w:tcPr>
            <w:tcW w:w="630" w:type="dxa"/>
            <w:vMerge/>
          </w:tcPr>
          <w:p w:rsidR="008A0CE2" w:rsidRPr="00C94812" w:rsidRDefault="008A0CE2" w:rsidP="00C84E96">
            <w:pPr>
              <w:spacing w:after="0" w:line="240" w:lineRule="auto"/>
              <w:jc w:val="center"/>
              <w:rPr>
                <w:rFonts w:eastAsia="Times New Roman" w:cs="Times New Roman"/>
                <w:color w:val="000000"/>
                <w:kern w:val="0"/>
                <w:sz w:val="20"/>
                <w:szCs w:val="20"/>
                <w:lang w:eastAsia="vi-VN"/>
              </w:rPr>
            </w:pPr>
          </w:p>
        </w:tc>
        <w:tc>
          <w:tcPr>
            <w:tcW w:w="1800" w:type="dxa"/>
            <w:vAlign w:val="center"/>
          </w:tcPr>
          <w:p w:rsidR="008A0CE2" w:rsidRPr="00C94812" w:rsidRDefault="008A0CE2" w:rsidP="00C84E96">
            <w:pPr>
              <w:spacing w:after="0" w:line="240" w:lineRule="auto"/>
              <w:jc w:val="center"/>
              <w:rPr>
                <w:rFonts w:eastAsia="Times New Roman" w:cs="Times New Roman"/>
                <w:b/>
                <w:i/>
                <w:color w:val="000000"/>
                <w:kern w:val="0"/>
                <w:sz w:val="20"/>
                <w:szCs w:val="20"/>
                <w:lang w:eastAsia="vi-VN"/>
              </w:rPr>
            </w:pPr>
            <w:r w:rsidRPr="00C94812">
              <w:rPr>
                <w:rFonts w:eastAsia="Times New Roman" w:cs="Times New Roman"/>
                <w:b/>
                <w:i/>
                <w:color w:val="000000"/>
                <w:kern w:val="0"/>
                <w:sz w:val="20"/>
                <w:szCs w:val="20"/>
                <w:lang w:eastAsia="vi-VN"/>
              </w:rPr>
              <w:t>(1)</w:t>
            </w:r>
          </w:p>
        </w:tc>
        <w:tc>
          <w:tcPr>
            <w:tcW w:w="2070" w:type="dxa"/>
            <w:vAlign w:val="center"/>
          </w:tcPr>
          <w:p w:rsidR="008A0CE2" w:rsidRPr="00C94812" w:rsidRDefault="008A0CE2" w:rsidP="00C84E96">
            <w:pPr>
              <w:spacing w:after="0" w:line="240" w:lineRule="auto"/>
              <w:jc w:val="center"/>
              <w:rPr>
                <w:rFonts w:eastAsia="Times New Roman" w:cs="Times New Roman"/>
                <w:b/>
                <w:bCs/>
                <w:i/>
                <w:color w:val="000000"/>
                <w:kern w:val="0"/>
                <w:sz w:val="20"/>
                <w:szCs w:val="20"/>
                <w:lang w:eastAsia="vi-VN"/>
              </w:rPr>
            </w:pPr>
            <w:r w:rsidRPr="00C94812">
              <w:rPr>
                <w:rFonts w:eastAsia="Times New Roman" w:cs="Times New Roman"/>
                <w:b/>
                <w:bCs/>
                <w:i/>
                <w:color w:val="000000"/>
                <w:kern w:val="0"/>
                <w:sz w:val="20"/>
                <w:szCs w:val="20"/>
                <w:lang w:eastAsia="vi-VN"/>
              </w:rPr>
              <w:t>(2)</w:t>
            </w:r>
          </w:p>
        </w:tc>
        <w:tc>
          <w:tcPr>
            <w:tcW w:w="2624" w:type="dxa"/>
            <w:vAlign w:val="center"/>
          </w:tcPr>
          <w:p w:rsidR="008A0CE2" w:rsidRPr="00C94812" w:rsidRDefault="008A0CE2" w:rsidP="00C84E96">
            <w:pPr>
              <w:spacing w:after="0" w:line="240" w:lineRule="auto"/>
              <w:jc w:val="center"/>
              <w:rPr>
                <w:rFonts w:eastAsia="Times New Roman" w:cs="Times New Roman"/>
                <w:b/>
                <w:i/>
                <w:color w:val="000000"/>
                <w:kern w:val="0"/>
                <w:sz w:val="20"/>
                <w:szCs w:val="20"/>
                <w:lang w:eastAsia="vi-VN"/>
              </w:rPr>
            </w:pPr>
            <w:r w:rsidRPr="00C94812">
              <w:rPr>
                <w:rFonts w:eastAsia="Times New Roman" w:cs="Times New Roman"/>
                <w:b/>
                <w:i/>
                <w:color w:val="000000"/>
                <w:kern w:val="0"/>
                <w:sz w:val="20"/>
                <w:szCs w:val="20"/>
                <w:lang w:eastAsia="vi-VN"/>
              </w:rPr>
              <w:t>(3)</w:t>
            </w:r>
          </w:p>
        </w:tc>
        <w:tc>
          <w:tcPr>
            <w:tcW w:w="1559" w:type="dxa"/>
            <w:vAlign w:val="center"/>
          </w:tcPr>
          <w:p w:rsidR="008A0CE2" w:rsidRPr="00C94812" w:rsidRDefault="008A0CE2" w:rsidP="00C84E96">
            <w:pPr>
              <w:spacing w:after="0" w:line="240" w:lineRule="auto"/>
              <w:jc w:val="center"/>
              <w:rPr>
                <w:rFonts w:eastAsia="Times New Roman" w:cs="Times New Roman"/>
                <w:b/>
                <w:i/>
                <w:color w:val="000000"/>
                <w:kern w:val="0"/>
                <w:sz w:val="20"/>
                <w:szCs w:val="20"/>
                <w:lang w:eastAsia="vi-VN"/>
              </w:rPr>
            </w:pPr>
            <w:r w:rsidRPr="00C94812">
              <w:rPr>
                <w:rFonts w:eastAsia="Times New Roman" w:cs="Times New Roman"/>
                <w:b/>
                <w:i/>
                <w:color w:val="000000"/>
                <w:kern w:val="0"/>
                <w:sz w:val="20"/>
                <w:szCs w:val="20"/>
                <w:lang w:eastAsia="vi-VN"/>
              </w:rPr>
              <w:t>(4)</w:t>
            </w:r>
          </w:p>
        </w:tc>
        <w:tc>
          <w:tcPr>
            <w:tcW w:w="3969" w:type="dxa"/>
            <w:vAlign w:val="center"/>
          </w:tcPr>
          <w:p w:rsidR="008A0CE2" w:rsidRPr="00C94812" w:rsidRDefault="008A0CE2" w:rsidP="00C84E96">
            <w:pPr>
              <w:spacing w:after="0" w:line="240" w:lineRule="auto"/>
              <w:jc w:val="center"/>
              <w:rPr>
                <w:rFonts w:eastAsia="Times New Roman" w:cs="Times New Roman"/>
                <w:b/>
                <w:i/>
                <w:color w:val="000000"/>
                <w:kern w:val="0"/>
                <w:sz w:val="20"/>
                <w:szCs w:val="20"/>
                <w:lang w:eastAsia="vi-VN"/>
              </w:rPr>
            </w:pPr>
            <w:r w:rsidRPr="00C94812">
              <w:rPr>
                <w:rFonts w:eastAsia="Times New Roman" w:cs="Times New Roman"/>
                <w:b/>
                <w:i/>
                <w:color w:val="000000"/>
                <w:kern w:val="0"/>
                <w:sz w:val="20"/>
                <w:szCs w:val="20"/>
                <w:lang w:eastAsia="vi-VN"/>
              </w:rPr>
              <w:t>(5)</w:t>
            </w:r>
          </w:p>
        </w:tc>
        <w:tc>
          <w:tcPr>
            <w:tcW w:w="2693" w:type="dxa"/>
          </w:tcPr>
          <w:p w:rsidR="008A0CE2" w:rsidRPr="00C94812" w:rsidRDefault="008A0CE2" w:rsidP="00C84E96">
            <w:pPr>
              <w:spacing w:after="0" w:line="240" w:lineRule="auto"/>
              <w:jc w:val="center"/>
              <w:rPr>
                <w:rFonts w:eastAsia="Times New Roman" w:cs="Times New Roman"/>
                <w:b/>
                <w:i/>
                <w:color w:val="000000"/>
                <w:kern w:val="0"/>
                <w:sz w:val="20"/>
                <w:szCs w:val="20"/>
                <w:lang w:eastAsia="vi-VN"/>
              </w:rPr>
            </w:pPr>
            <w:r w:rsidRPr="00C94812">
              <w:rPr>
                <w:rFonts w:eastAsia="Times New Roman" w:cs="Times New Roman"/>
                <w:b/>
                <w:i/>
                <w:color w:val="000000"/>
                <w:kern w:val="0"/>
                <w:sz w:val="20"/>
                <w:szCs w:val="20"/>
                <w:lang w:eastAsia="vi-VN"/>
              </w:rPr>
              <w:t>(6)</w:t>
            </w:r>
          </w:p>
        </w:tc>
      </w:tr>
      <w:tr w:rsidR="008A0CE2" w:rsidRPr="00C94812" w:rsidTr="00C84E96">
        <w:trPr>
          <w:trHeight w:val="427"/>
        </w:trPr>
        <w:tc>
          <w:tcPr>
            <w:tcW w:w="15345" w:type="dxa"/>
            <w:gridSpan w:val="7"/>
          </w:tcPr>
          <w:p w:rsidR="008A0CE2" w:rsidRPr="00C94812" w:rsidRDefault="008A0CE2" w:rsidP="00C84E96">
            <w:pPr>
              <w:spacing w:after="0" w:line="240" w:lineRule="auto"/>
              <w:rPr>
                <w:rFonts w:eastAsia="Times New Roman" w:cs="Times New Roman"/>
                <w:color w:val="000000"/>
                <w:kern w:val="0"/>
                <w:sz w:val="20"/>
                <w:szCs w:val="20"/>
                <w:lang w:eastAsia="vi-VN"/>
              </w:rPr>
            </w:pPr>
            <w:r w:rsidRPr="00C94812">
              <w:rPr>
                <w:rFonts w:eastAsia="Times New Roman" w:cs="Times New Roman"/>
                <w:b/>
                <w:color w:val="000000"/>
                <w:kern w:val="0"/>
                <w:sz w:val="20"/>
                <w:szCs w:val="20"/>
                <w:lang w:eastAsia="vi-VN"/>
              </w:rPr>
              <w:t>I. Các khó khăn, kiến nghị đã được quy định tại văn bản quy phạm pháp luật, được Bộ, ngành giải thích, hướng dẫn</w:t>
            </w:r>
          </w:p>
        </w:tc>
      </w:tr>
      <w:tr w:rsidR="001D3065" w:rsidRPr="00C94812" w:rsidTr="00C84E96">
        <w:trPr>
          <w:trHeight w:val="1585"/>
        </w:trPr>
        <w:tc>
          <w:tcPr>
            <w:tcW w:w="630" w:type="dxa"/>
          </w:tcPr>
          <w:p w:rsidR="001D3065" w:rsidRPr="00C94812" w:rsidRDefault="001D3065" w:rsidP="00C84E96">
            <w:pPr>
              <w:spacing w:after="0" w:line="240" w:lineRule="auto"/>
              <w:jc w:val="center"/>
              <w:rPr>
                <w:rFonts w:eastAsia="Times New Roman" w:cs="Times New Roman"/>
                <w:color w:val="000000"/>
                <w:kern w:val="0"/>
                <w:sz w:val="20"/>
                <w:szCs w:val="20"/>
                <w:lang w:eastAsia="vi-VN"/>
              </w:rPr>
            </w:pPr>
            <w:r w:rsidRPr="00C94812">
              <w:rPr>
                <w:rFonts w:eastAsia="Times New Roman" w:cs="Times New Roman"/>
                <w:color w:val="000000"/>
                <w:kern w:val="0"/>
                <w:sz w:val="20"/>
                <w:szCs w:val="20"/>
                <w:lang w:eastAsia="vi-VN"/>
              </w:rPr>
              <w:t>1</w:t>
            </w:r>
          </w:p>
        </w:tc>
        <w:tc>
          <w:tcPr>
            <w:tcW w:w="1800" w:type="dxa"/>
          </w:tcPr>
          <w:p w:rsidR="001D3065" w:rsidRPr="00C94812" w:rsidRDefault="001D3065" w:rsidP="00C84E96">
            <w:pPr>
              <w:spacing w:after="0" w:line="240" w:lineRule="auto"/>
              <w:rPr>
                <w:rFonts w:eastAsia="Times New Roman" w:cs="Times New Roman"/>
                <w:color w:val="000000"/>
                <w:kern w:val="0"/>
                <w:sz w:val="20"/>
                <w:szCs w:val="20"/>
                <w:lang w:eastAsia="vi-VN"/>
              </w:rPr>
            </w:pPr>
            <w:r w:rsidRPr="00C94812">
              <w:rPr>
                <w:rFonts w:eastAsia="Times New Roman" w:cs="Times New Roman"/>
                <w:color w:val="000000"/>
                <w:kern w:val="0"/>
                <w:sz w:val="20"/>
                <w:szCs w:val="20"/>
                <w:lang w:eastAsia="vi-VN"/>
              </w:rPr>
              <w:t>Diễn đàn Doanh nghiệp Việt Nam VBF</w:t>
            </w:r>
          </w:p>
        </w:tc>
        <w:tc>
          <w:tcPr>
            <w:tcW w:w="2070" w:type="dxa"/>
          </w:tcPr>
          <w:p w:rsidR="001D3065" w:rsidRPr="00C94812" w:rsidRDefault="001D3065" w:rsidP="00C84E96">
            <w:pPr>
              <w:spacing w:after="0" w:line="240" w:lineRule="auto"/>
              <w:rPr>
                <w:rFonts w:eastAsia="Times New Roman" w:cs="Times New Roman"/>
                <w:bCs/>
                <w:color w:val="000000"/>
                <w:kern w:val="0"/>
                <w:sz w:val="20"/>
                <w:szCs w:val="20"/>
                <w:lang w:eastAsia="vi-VN"/>
              </w:rPr>
            </w:pPr>
            <w:r w:rsidRPr="00C94812">
              <w:rPr>
                <w:rFonts w:eastAsia="Times New Roman" w:cs="Times New Roman"/>
                <w:bCs/>
                <w:color w:val="000000"/>
                <w:kern w:val="0"/>
                <w:sz w:val="20"/>
                <w:szCs w:val="20"/>
                <w:lang w:val="vi-VN" w:eastAsia="vi-VN"/>
              </w:rPr>
              <w:t>Vướng mắc về M&amp;A, kiểm soát tập trung kinh tế và tài khoản vốn đầu tư</w:t>
            </w:r>
          </w:p>
        </w:tc>
        <w:tc>
          <w:tcPr>
            <w:tcW w:w="2624" w:type="dxa"/>
          </w:tcPr>
          <w:p w:rsidR="001D3065" w:rsidRPr="00C94812" w:rsidRDefault="001D3065" w:rsidP="00C84E96">
            <w:pPr>
              <w:spacing w:after="0" w:line="240" w:lineRule="auto"/>
              <w:rPr>
                <w:rFonts w:eastAsia="Times New Roman" w:cs="Times New Roman"/>
                <w:color w:val="000000"/>
                <w:kern w:val="0"/>
                <w:sz w:val="20"/>
                <w:szCs w:val="20"/>
                <w:lang w:eastAsia="vi-VN"/>
              </w:rPr>
            </w:pPr>
            <w:r w:rsidRPr="00C94812">
              <w:rPr>
                <w:rFonts w:eastAsia="Times New Roman" w:cs="Times New Roman"/>
                <w:color w:val="000000"/>
                <w:kern w:val="0"/>
                <w:sz w:val="20"/>
                <w:szCs w:val="20"/>
                <w:lang w:eastAsia="vi-VN"/>
              </w:rPr>
              <w:t>Làm rõ M&amp;A không yêu cầu chấp thuận khi tỷ lệ sở hữu và ngưỡng luật định không thay đổi; định nghĩa rõ "khu vực an ninh"; thu hẹp phạm vi kiểm soát tập trung, miễn trừ tái cơ cấu nội bộ; nghiên cứu bãi bỏ DICA, áp dụng một chế độ tài khoản thống nhất.</w:t>
            </w:r>
          </w:p>
        </w:tc>
        <w:tc>
          <w:tcPr>
            <w:tcW w:w="1559" w:type="dxa"/>
          </w:tcPr>
          <w:p w:rsidR="001D3065" w:rsidRPr="00C94812" w:rsidRDefault="001D3065" w:rsidP="00C84E96">
            <w:pPr>
              <w:spacing w:after="0" w:line="240" w:lineRule="auto"/>
              <w:rPr>
                <w:rFonts w:eastAsia="Times New Roman" w:cs="Times New Roman"/>
                <w:color w:val="000000"/>
                <w:kern w:val="0"/>
                <w:sz w:val="20"/>
                <w:szCs w:val="20"/>
                <w:lang w:eastAsia="vi-VN"/>
              </w:rPr>
            </w:pPr>
            <w:r w:rsidRPr="00C94812">
              <w:rPr>
                <w:rFonts w:eastAsia="Times New Roman" w:cs="Times New Roman"/>
                <w:color w:val="000000"/>
                <w:kern w:val="0"/>
                <w:sz w:val="20"/>
                <w:szCs w:val="20"/>
                <w:lang w:eastAsia="vi-VN"/>
              </w:rPr>
              <w:t>Bộ Tài chính, Bộ Công Thương</w:t>
            </w:r>
          </w:p>
        </w:tc>
        <w:tc>
          <w:tcPr>
            <w:tcW w:w="3969" w:type="dxa"/>
          </w:tcPr>
          <w:p w:rsidR="001D3065" w:rsidRPr="00C94812" w:rsidRDefault="001D3065" w:rsidP="00C84E96">
            <w:pPr>
              <w:spacing w:after="0" w:line="240" w:lineRule="auto"/>
              <w:rPr>
                <w:rFonts w:eastAsia="Times New Roman" w:cs="Times New Roman"/>
                <w:color w:val="000000"/>
                <w:kern w:val="0"/>
                <w:sz w:val="20"/>
                <w:szCs w:val="20"/>
                <w:lang w:eastAsia="vi-VN"/>
              </w:rPr>
            </w:pPr>
            <w:r w:rsidRPr="00C94812">
              <w:rPr>
                <w:rFonts w:eastAsia="Times New Roman" w:cs="Times New Roman"/>
                <w:color w:val="000000"/>
                <w:kern w:val="0"/>
                <w:sz w:val="20"/>
                <w:szCs w:val="20"/>
                <w:lang w:eastAsia="vi-VN"/>
              </w:rPr>
              <w:t xml:space="preserve">Đối với kiến nghị về thủ tục mua bán, sáp nhập (M&amp;A) và quản lý tài khoản vốn đầu tư của nhà đầu tư nước ngoài, các cơ quan quản lý cho biết pháp luật hiện hành đã có quy định cụ thể. Theo đó, Bộ Tài chính cho biết các trường hợp nhà đầu tư nước ngoài phải thực hiện thủ tục đăng ký góp vốn, mua cổ phần, phần vốn góp đã được quy định tại Luật Đầu tư năm 2025; trường hợp chuyển nhượng giữa các nhà đầu tư nước ngoài có thay đổi về quốc tịch nhà đầu tư vẫn phải thực hiện việc rà soát điều kiện tiếp cận thị trường theo quy định. Ngân hàng Nhà nước cũng khẳng định quy định hiện hành đã phân định rõ đối tượng mở và sử dụng tài khoản vốn đầu tư trực tiếp (DICA) và tài khoản vốn đầu tư gián tiếp (IIA), đồng thời cho biết doanh nghiệp FDI không phải đồng thời mở và duy trì cả hai loại tài khoản như phản ánh của doanh nghiệp. </w:t>
            </w:r>
          </w:p>
          <w:p w:rsidR="001D3065" w:rsidRPr="00C94812" w:rsidRDefault="001D3065" w:rsidP="00C84E96">
            <w:pPr>
              <w:spacing w:after="0" w:line="240" w:lineRule="auto"/>
              <w:rPr>
                <w:rFonts w:eastAsia="Times New Roman" w:cs="Times New Roman"/>
                <w:color w:val="000000"/>
                <w:kern w:val="0"/>
                <w:sz w:val="20"/>
                <w:szCs w:val="20"/>
                <w:lang w:eastAsia="vi-VN"/>
              </w:rPr>
            </w:pPr>
            <w:r w:rsidRPr="00C94812">
              <w:rPr>
                <w:rFonts w:eastAsia="Times New Roman" w:cs="Times New Roman"/>
                <w:color w:val="000000"/>
                <w:kern w:val="0"/>
                <w:sz w:val="20"/>
                <w:szCs w:val="20"/>
                <w:lang w:eastAsia="vi-VN"/>
              </w:rPr>
              <w:t xml:space="preserve">Đối với kiến nghị về kiểm soát tập trung kinh tế, Bộ Công Thương cho biết đang sửa đổi, bổ sung Luật Cạnh tranh theo hướng tinh gọn, minh bạch hóa thủ tục thông báo tập trung </w:t>
            </w:r>
            <w:r w:rsidRPr="00C94812">
              <w:rPr>
                <w:rFonts w:eastAsia="Times New Roman" w:cs="Times New Roman"/>
                <w:color w:val="000000"/>
                <w:kern w:val="0"/>
                <w:sz w:val="20"/>
                <w:szCs w:val="20"/>
                <w:lang w:eastAsia="vi-VN"/>
              </w:rPr>
              <w:lastRenderedPageBreak/>
              <w:t>kinh tế, giảm gánh nặng tuân thủ đối với các giao dịch tái cơ cấu hoặc các giao dịch ít có khả năng gây tác động hạn chế cạnh tranh. Đồng thời, việc nâng ngưỡng thông báo tập trung kinh tế theo Nghị quyết số 66.18/2026/NQ-CP được kỳ vọng sẽ làm giảm đáng kể số lượng giao dịch phải thực hiện thủ tục thông báo.</w:t>
            </w:r>
          </w:p>
        </w:tc>
        <w:tc>
          <w:tcPr>
            <w:tcW w:w="2693" w:type="dxa"/>
          </w:tcPr>
          <w:p w:rsidR="001D3065" w:rsidRPr="00C94812" w:rsidRDefault="001D3065" w:rsidP="001D3065">
            <w:pPr>
              <w:spacing w:after="0" w:line="240" w:lineRule="exact"/>
              <w:rPr>
                <w:rFonts w:cs="Times New Roman"/>
                <w:color w:val="000000" w:themeColor="text1"/>
                <w:sz w:val="20"/>
                <w:szCs w:val="20"/>
              </w:rPr>
            </w:pPr>
            <w:r w:rsidRPr="00C94812">
              <w:rPr>
                <w:rFonts w:cs="Times New Roman"/>
                <w:color w:val="000000" w:themeColor="text1"/>
                <w:sz w:val="20"/>
                <w:szCs w:val="20"/>
              </w:rPr>
              <w:lastRenderedPageBreak/>
              <w:t>Ngân hàng Nhà nước Việt Nam đã có công văn số 6155/NHNN-TT ngày 13/7/2026 trả lời kiến nghị của hiệp hội.</w:t>
            </w:r>
          </w:p>
        </w:tc>
      </w:tr>
      <w:tr w:rsidR="001D3065" w:rsidRPr="00C94812" w:rsidTr="00C84E96">
        <w:trPr>
          <w:trHeight w:val="1585"/>
        </w:trPr>
        <w:tc>
          <w:tcPr>
            <w:tcW w:w="630" w:type="dxa"/>
          </w:tcPr>
          <w:p w:rsidR="001D3065" w:rsidRPr="00C94812" w:rsidRDefault="001D3065" w:rsidP="00C84E96">
            <w:pPr>
              <w:spacing w:after="0" w:line="240" w:lineRule="auto"/>
              <w:jc w:val="center"/>
              <w:rPr>
                <w:rFonts w:eastAsia="Times New Roman" w:cs="Times New Roman"/>
                <w:color w:val="000000"/>
                <w:kern w:val="0"/>
                <w:sz w:val="20"/>
                <w:szCs w:val="20"/>
                <w:lang w:eastAsia="vi-VN"/>
              </w:rPr>
            </w:pPr>
            <w:r w:rsidRPr="00C94812">
              <w:rPr>
                <w:rFonts w:eastAsia="Times New Roman" w:cs="Times New Roman"/>
                <w:color w:val="000000"/>
                <w:kern w:val="0"/>
                <w:sz w:val="20"/>
                <w:szCs w:val="20"/>
                <w:lang w:eastAsia="vi-VN"/>
              </w:rPr>
              <w:t>2</w:t>
            </w:r>
          </w:p>
        </w:tc>
        <w:tc>
          <w:tcPr>
            <w:tcW w:w="1800" w:type="dxa"/>
          </w:tcPr>
          <w:p w:rsidR="001D3065" w:rsidRPr="00C94812" w:rsidRDefault="001D3065" w:rsidP="00C84E96">
            <w:pPr>
              <w:spacing w:after="0" w:line="240" w:lineRule="auto"/>
              <w:rPr>
                <w:rFonts w:eastAsia="Times New Roman" w:cs="Times New Roman"/>
                <w:color w:val="000000"/>
                <w:kern w:val="0"/>
                <w:sz w:val="20"/>
                <w:szCs w:val="20"/>
                <w:lang w:eastAsia="vi-VN"/>
              </w:rPr>
            </w:pPr>
            <w:r w:rsidRPr="00C94812">
              <w:rPr>
                <w:rFonts w:eastAsia="Times New Roman" w:cs="Times New Roman"/>
                <w:color w:val="000000"/>
                <w:kern w:val="0"/>
                <w:sz w:val="20"/>
                <w:szCs w:val="20"/>
                <w:lang w:eastAsia="vi-VN"/>
              </w:rPr>
              <w:t>Một số tổ chức tín dụng</w:t>
            </w:r>
          </w:p>
        </w:tc>
        <w:tc>
          <w:tcPr>
            <w:tcW w:w="2070" w:type="dxa"/>
          </w:tcPr>
          <w:p w:rsidR="001D3065" w:rsidRPr="00C94812" w:rsidRDefault="001D3065" w:rsidP="00C84E96">
            <w:pPr>
              <w:spacing w:after="0" w:line="240" w:lineRule="auto"/>
              <w:rPr>
                <w:rFonts w:eastAsia="Times New Roman" w:cs="Times New Roman"/>
                <w:bCs/>
                <w:color w:val="000000"/>
                <w:kern w:val="0"/>
                <w:sz w:val="20"/>
                <w:szCs w:val="20"/>
                <w:lang w:val="vi-VN" w:eastAsia="vi-VN"/>
              </w:rPr>
            </w:pPr>
            <w:r w:rsidRPr="00C94812">
              <w:rPr>
                <w:rFonts w:eastAsia="Times New Roman" w:cs="Times New Roman"/>
                <w:bCs/>
                <w:color w:val="000000"/>
                <w:kern w:val="0"/>
                <w:sz w:val="20"/>
                <w:szCs w:val="20"/>
                <w:lang w:val="vi-VN" w:eastAsia="vi-VN"/>
              </w:rPr>
              <w:t>Khái niệm chưa rõ trong Luật các Tổ chức tín dụng 2024 và xử lý tài sản bảo đảm</w:t>
            </w:r>
          </w:p>
        </w:tc>
        <w:tc>
          <w:tcPr>
            <w:tcW w:w="2624" w:type="dxa"/>
          </w:tcPr>
          <w:p w:rsidR="001D3065" w:rsidRPr="00C94812" w:rsidRDefault="001D3065" w:rsidP="00C84E96">
            <w:pPr>
              <w:spacing w:after="0" w:line="240" w:lineRule="auto"/>
              <w:rPr>
                <w:rFonts w:eastAsia="Times New Roman" w:cs="Times New Roman"/>
                <w:color w:val="000000"/>
                <w:kern w:val="0"/>
                <w:sz w:val="20"/>
                <w:szCs w:val="20"/>
                <w:lang w:val="vi-VN" w:eastAsia="vi-VN"/>
              </w:rPr>
            </w:pPr>
            <w:r w:rsidRPr="00C94812">
              <w:rPr>
                <w:rFonts w:eastAsia="Times New Roman" w:cs="Times New Roman"/>
                <w:color w:val="000000"/>
                <w:kern w:val="0"/>
                <w:sz w:val="20"/>
                <w:szCs w:val="20"/>
                <w:lang w:val="vi-VN" w:eastAsia="vi-VN"/>
              </w:rPr>
              <w:t>Ban hành hướng dẫn cụ thể các khái niệm; quy định rõ trách nhiệm phối hợp của công an và chính quyền địa phương; bổ sung đầy đủ thông tin trên mẫu Giấy phép thành lập.</w:t>
            </w:r>
          </w:p>
        </w:tc>
        <w:tc>
          <w:tcPr>
            <w:tcW w:w="1559" w:type="dxa"/>
          </w:tcPr>
          <w:p w:rsidR="001D3065" w:rsidRPr="00C94812" w:rsidRDefault="001D3065" w:rsidP="00C84E96">
            <w:pPr>
              <w:spacing w:after="0" w:line="240" w:lineRule="auto"/>
              <w:rPr>
                <w:rFonts w:eastAsia="Times New Roman" w:cs="Times New Roman"/>
                <w:color w:val="000000"/>
                <w:kern w:val="0"/>
                <w:sz w:val="20"/>
                <w:szCs w:val="20"/>
                <w:lang w:val="vi-VN" w:eastAsia="vi-VN"/>
              </w:rPr>
            </w:pPr>
            <w:r w:rsidRPr="00C94812">
              <w:rPr>
                <w:rFonts w:eastAsia="Times New Roman" w:cs="Times New Roman"/>
                <w:color w:val="000000"/>
                <w:kern w:val="0"/>
                <w:sz w:val="20"/>
                <w:szCs w:val="20"/>
                <w:lang w:val="vi-VN" w:eastAsia="vi-VN"/>
              </w:rPr>
              <w:t>Ngân hàng Nhà nước Việt Nam</w:t>
            </w:r>
          </w:p>
        </w:tc>
        <w:tc>
          <w:tcPr>
            <w:tcW w:w="3969" w:type="dxa"/>
          </w:tcPr>
          <w:p w:rsidR="001D3065" w:rsidRPr="00C94812" w:rsidRDefault="001D3065" w:rsidP="00C84E96">
            <w:pPr>
              <w:spacing w:after="0" w:line="240" w:lineRule="auto"/>
              <w:rPr>
                <w:rFonts w:eastAsia="Times New Roman" w:cs="Times New Roman"/>
                <w:color w:val="000000"/>
                <w:kern w:val="0"/>
                <w:sz w:val="20"/>
                <w:szCs w:val="20"/>
                <w:lang w:val="vi-VN" w:eastAsia="vi-VN"/>
              </w:rPr>
            </w:pPr>
            <w:r w:rsidRPr="00C94812">
              <w:rPr>
                <w:rFonts w:eastAsia="Times New Roman" w:cs="Times New Roman"/>
                <w:color w:val="000000"/>
                <w:kern w:val="0"/>
                <w:sz w:val="20"/>
                <w:szCs w:val="20"/>
                <w:lang w:val="vi-VN" w:eastAsia="vi-VN"/>
              </w:rPr>
              <w:t xml:space="preserve">Đối với kiến nghị về các khái niệm trong Luật Các tổ chức tín dụng năm 2024 và việc thu giữ tài sản bảo đảm, Ngân hàng Nhà nước cho biết pháp luật hiện hành đã có quy định cụ thể. Theo đó, các quy định về trường hợp tổ chức tín dụng được nắm giữ bất động sản để xử lý nợ và sử dụng bất động sản phục vụ trực tiếp hoạt động nghiệp vụ đã được quy định tại Điều 139 Luật Các tổ chức tín dụng năm 2024 và cơ bản kế thừa quy định của pháp luật trước đây. Đối với trách nhiệm phối hợp của Ủy ban nhân dân và Công an cấp xã trong quá trình thu giữ tài sản bảo đảm, Luật Các tổ chức tín dụng cũng đã quy định rõ trách nhiệm của các cơ quan liên quan; việc phối hợp thực hiện được triển khai theo quy định của pháp luật chuyên ngành và các quy chế phối hợp hiện hành. </w:t>
            </w:r>
          </w:p>
          <w:p w:rsidR="001D3065" w:rsidRPr="00C94812" w:rsidRDefault="001D3065" w:rsidP="00C84E96">
            <w:pPr>
              <w:spacing w:after="0" w:line="240" w:lineRule="auto"/>
              <w:rPr>
                <w:rFonts w:eastAsia="Times New Roman" w:cs="Times New Roman"/>
                <w:color w:val="000000"/>
                <w:kern w:val="0"/>
                <w:sz w:val="20"/>
                <w:szCs w:val="20"/>
                <w:lang w:val="vi-VN" w:eastAsia="vi-VN"/>
              </w:rPr>
            </w:pPr>
            <w:r w:rsidRPr="00C94812">
              <w:rPr>
                <w:rFonts w:eastAsia="Times New Roman" w:cs="Times New Roman"/>
                <w:color w:val="000000"/>
                <w:kern w:val="0"/>
                <w:sz w:val="20"/>
                <w:szCs w:val="20"/>
                <w:lang w:val="vi-VN" w:eastAsia="vi-VN"/>
              </w:rPr>
              <w:t xml:space="preserve">Đối với vướng mắc trong việc sang tên bất động sản do tổ chức tín dụng nắm giữ để xử lý nợ, Ngân hàng Nhà nước cho biết nguyên nhân chủ yếu xuất phát từ việc áp dụng chưa thống nhất tại các địa phương. Trong thời gian qua, Ngân hàng Nhà nước đã có văn bản trao đổi với các tổ chức tín dụng, cơ quan quản lý </w:t>
            </w:r>
            <w:r w:rsidRPr="00C94812">
              <w:rPr>
                <w:rFonts w:eastAsia="Times New Roman" w:cs="Times New Roman"/>
                <w:color w:val="000000"/>
                <w:kern w:val="0"/>
                <w:sz w:val="20"/>
                <w:szCs w:val="20"/>
                <w:lang w:val="vi-VN" w:eastAsia="vi-VN"/>
              </w:rPr>
              <w:lastRenderedPageBreak/>
              <w:t xml:space="preserve">địa phương và Bộ Nông nghiệp và Môi trường để thống nhất cách thức thực hiện, đồng thời sẽ tiếp tục phối hợp với các cơ quan liên quan nhằm tháo gỡ các khó khăn, vướng mắc phát sinh. </w:t>
            </w:r>
          </w:p>
          <w:p w:rsidR="001D3065" w:rsidRPr="00C94812" w:rsidRDefault="001D3065" w:rsidP="00C84E96">
            <w:pPr>
              <w:spacing w:after="0" w:line="240" w:lineRule="auto"/>
              <w:rPr>
                <w:rFonts w:eastAsia="Times New Roman" w:cs="Times New Roman"/>
                <w:color w:val="000000"/>
                <w:kern w:val="0"/>
                <w:sz w:val="20"/>
                <w:szCs w:val="20"/>
                <w:lang w:val="vi-VN" w:eastAsia="vi-VN"/>
              </w:rPr>
            </w:pPr>
            <w:r w:rsidRPr="00C94812">
              <w:rPr>
                <w:rFonts w:eastAsia="Times New Roman" w:cs="Times New Roman"/>
                <w:color w:val="000000"/>
                <w:kern w:val="0"/>
                <w:sz w:val="20"/>
                <w:szCs w:val="20"/>
                <w:lang w:val="vi-VN" w:eastAsia="vi-VN"/>
              </w:rPr>
              <w:t>Đối với kiến nghị về việc bổ sung mã số thuế trên Giấy phép thành lập và hoạt động của tổ chức tín dụng, Ngân hàng Nhà nước cho biết việc cấp Giấy phép và đăng ký thuế được thực hiện theo các trình tự, thủ tục riêng theo quy định của pháp luật hiện hành. Sau khi được cấp Giấy phép thành lập và hoạt động, tổ chức tín dụng thực hiện thủ tục đăng ký thuế theo quy định để được cấp mã số thuế.</w:t>
            </w:r>
          </w:p>
        </w:tc>
        <w:tc>
          <w:tcPr>
            <w:tcW w:w="2693" w:type="dxa"/>
          </w:tcPr>
          <w:p w:rsidR="001D3065" w:rsidRPr="00C94812" w:rsidRDefault="001D3065" w:rsidP="00C84E96">
            <w:pPr>
              <w:spacing w:after="0" w:line="240" w:lineRule="auto"/>
              <w:rPr>
                <w:rFonts w:eastAsia="Times New Roman" w:cs="Times New Roman"/>
                <w:kern w:val="0"/>
                <w:sz w:val="20"/>
                <w:szCs w:val="20"/>
                <w:lang w:eastAsia="vi-VN"/>
              </w:rPr>
            </w:pPr>
            <w:r w:rsidRPr="00C94812">
              <w:rPr>
                <w:sz w:val="20"/>
                <w:szCs w:val="20"/>
              </w:rPr>
              <w:lastRenderedPageBreak/>
              <w:t>Công văn số 6155/NHNN-TD ngày 13/7/2026 v/v trả lời kiến nghị về các khó khăn, vướngmắc của cộng đồng doanhnghiệp.</w:t>
            </w:r>
          </w:p>
        </w:tc>
      </w:tr>
      <w:tr w:rsidR="001D3065" w:rsidRPr="00C94812" w:rsidTr="00C84E96">
        <w:trPr>
          <w:trHeight w:val="397"/>
        </w:trPr>
        <w:tc>
          <w:tcPr>
            <w:tcW w:w="15345" w:type="dxa"/>
            <w:gridSpan w:val="7"/>
          </w:tcPr>
          <w:p w:rsidR="001D3065" w:rsidRPr="00C94812" w:rsidRDefault="001D3065" w:rsidP="00C84E96">
            <w:pPr>
              <w:spacing w:after="0" w:line="240" w:lineRule="auto"/>
              <w:rPr>
                <w:rFonts w:eastAsia="Times New Roman" w:cs="Times New Roman"/>
                <w:b/>
                <w:color w:val="000000"/>
                <w:kern w:val="0"/>
                <w:sz w:val="20"/>
                <w:szCs w:val="20"/>
                <w:lang w:eastAsia="vi-VN"/>
              </w:rPr>
            </w:pPr>
            <w:r w:rsidRPr="00C94812">
              <w:rPr>
                <w:rFonts w:eastAsia="Times New Roman" w:cs="Times New Roman"/>
                <w:b/>
                <w:color w:val="000000"/>
                <w:kern w:val="0"/>
                <w:sz w:val="20"/>
                <w:szCs w:val="20"/>
                <w:lang w:eastAsia="vi-VN"/>
              </w:rPr>
              <w:t xml:space="preserve">II. Các kiến nghị được tiếp thu, nghiên cứu, xem xét sửa đổi </w:t>
            </w:r>
          </w:p>
        </w:tc>
      </w:tr>
      <w:tr w:rsidR="001D3065" w:rsidRPr="00C94812" w:rsidTr="00C84E96">
        <w:trPr>
          <w:trHeight w:val="1585"/>
        </w:trPr>
        <w:tc>
          <w:tcPr>
            <w:tcW w:w="630" w:type="dxa"/>
          </w:tcPr>
          <w:p w:rsidR="001D3065" w:rsidRPr="00C94812" w:rsidRDefault="001D3065" w:rsidP="00C84E96">
            <w:pPr>
              <w:spacing w:after="0" w:line="240" w:lineRule="auto"/>
              <w:jc w:val="center"/>
              <w:rPr>
                <w:rFonts w:eastAsia="Times New Roman" w:cs="Times New Roman"/>
                <w:color w:val="000000"/>
                <w:kern w:val="0"/>
                <w:sz w:val="20"/>
                <w:szCs w:val="20"/>
                <w:lang w:eastAsia="vi-VN"/>
              </w:rPr>
            </w:pPr>
            <w:r w:rsidRPr="00C94812">
              <w:rPr>
                <w:rFonts w:eastAsia="Times New Roman" w:cs="Times New Roman"/>
                <w:color w:val="000000"/>
                <w:kern w:val="0"/>
                <w:sz w:val="20"/>
                <w:szCs w:val="20"/>
                <w:lang w:eastAsia="vi-VN"/>
              </w:rPr>
              <w:t>1</w:t>
            </w:r>
          </w:p>
        </w:tc>
        <w:tc>
          <w:tcPr>
            <w:tcW w:w="1800" w:type="dxa"/>
          </w:tcPr>
          <w:p w:rsidR="001D3065" w:rsidRPr="00C94812" w:rsidRDefault="001D3065" w:rsidP="00C84E96">
            <w:pPr>
              <w:spacing w:after="0" w:line="240" w:lineRule="auto"/>
              <w:rPr>
                <w:rFonts w:eastAsia="Times New Roman" w:cs="Times New Roman"/>
                <w:color w:val="000000"/>
                <w:kern w:val="0"/>
                <w:sz w:val="20"/>
                <w:szCs w:val="20"/>
                <w:lang w:val="vi-VN" w:eastAsia="vi-VN"/>
              </w:rPr>
            </w:pPr>
            <w:r w:rsidRPr="00C94812">
              <w:rPr>
                <w:rFonts w:eastAsia="Times New Roman" w:cs="Times New Roman"/>
                <w:color w:val="000000"/>
                <w:kern w:val="0"/>
                <w:sz w:val="20"/>
                <w:szCs w:val="20"/>
                <w:lang w:val="vi-VN" w:eastAsia="vi-VN"/>
              </w:rPr>
              <w:t>Diễn đàn Doanh nghiệp Việt Nam (Vietnam Business Forum)</w:t>
            </w:r>
          </w:p>
        </w:tc>
        <w:tc>
          <w:tcPr>
            <w:tcW w:w="2070" w:type="dxa"/>
          </w:tcPr>
          <w:p w:rsidR="001D3065" w:rsidRPr="00C94812" w:rsidRDefault="001D3065" w:rsidP="00C84E96">
            <w:pPr>
              <w:spacing w:after="0" w:line="240" w:lineRule="auto"/>
              <w:rPr>
                <w:rFonts w:eastAsia="Times New Roman" w:cs="Times New Roman"/>
                <w:bCs/>
                <w:color w:val="000000"/>
                <w:kern w:val="0"/>
                <w:sz w:val="20"/>
                <w:szCs w:val="20"/>
                <w:lang w:val="vi-VN" w:eastAsia="vi-VN"/>
              </w:rPr>
            </w:pPr>
            <w:r w:rsidRPr="00C94812">
              <w:rPr>
                <w:rFonts w:eastAsia="Times New Roman" w:cs="Times New Roman"/>
                <w:bCs/>
                <w:color w:val="000000"/>
                <w:kern w:val="0"/>
                <w:sz w:val="20"/>
                <w:szCs w:val="20"/>
                <w:lang w:val="vi-VN" w:eastAsia="vi-VN"/>
              </w:rPr>
              <w:t>Nhà ở tái định cư tồn đọng và mở rộng tiếp cận đất cho nhà ở thương mại</w:t>
            </w:r>
          </w:p>
        </w:tc>
        <w:tc>
          <w:tcPr>
            <w:tcW w:w="2624" w:type="dxa"/>
          </w:tcPr>
          <w:p w:rsidR="001D3065" w:rsidRPr="00C94812" w:rsidRDefault="001D3065" w:rsidP="00C84E96">
            <w:pPr>
              <w:spacing w:after="0" w:line="240" w:lineRule="auto"/>
              <w:rPr>
                <w:rFonts w:eastAsia="Times New Roman" w:cs="Times New Roman"/>
                <w:color w:val="000000"/>
                <w:kern w:val="0"/>
                <w:sz w:val="20"/>
                <w:szCs w:val="20"/>
                <w:lang w:val="vi-VN" w:eastAsia="vi-VN"/>
              </w:rPr>
            </w:pPr>
            <w:r w:rsidRPr="00C94812">
              <w:rPr>
                <w:rFonts w:eastAsia="Times New Roman" w:cs="Times New Roman"/>
                <w:color w:val="000000"/>
                <w:kern w:val="0"/>
                <w:sz w:val="20"/>
                <w:szCs w:val="20"/>
                <w:lang w:val="vi-VN" w:eastAsia="vi-VN"/>
              </w:rPr>
              <w:t>Yêu cầu địa phương xử lý dứt điểm dự án tồn đọng trong thời hạn cụ thể; luật hóa Nghị quyết 171 vào Luật Đất đai sửa đổi; thiết lập cơ chế minh bạch xác định tiền sử dụng đất theo từng block.</w:t>
            </w:r>
          </w:p>
        </w:tc>
        <w:tc>
          <w:tcPr>
            <w:tcW w:w="1559" w:type="dxa"/>
          </w:tcPr>
          <w:p w:rsidR="001D3065" w:rsidRPr="00C94812" w:rsidRDefault="001D3065" w:rsidP="00C84E96">
            <w:pPr>
              <w:spacing w:after="0" w:line="240" w:lineRule="auto"/>
              <w:rPr>
                <w:rFonts w:eastAsia="Times New Roman" w:cs="Times New Roman"/>
                <w:color w:val="000000"/>
                <w:kern w:val="0"/>
                <w:sz w:val="20"/>
                <w:szCs w:val="20"/>
                <w:lang w:val="vi-VN" w:eastAsia="vi-VN"/>
              </w:rPr>
            </w:pPr>
            <w:r w:rsidRPr="00C94812">
              <w:rPr>
                <w:rFonts w:eastAsia="Times New Roman" w:cs="Times New Roman"/>
                <w:color w:val="000000"/>
                <w:kern w:val="0"/>
                <w:sz w:val="20"/>
                <w:szCs w:val="20"/>
                <w:lang w:val="vi-VN" w:eastAsia="vi-VN"/>
              </w:rPr>
              <w:t>Bộ Nông nghiệp và Môi trường, Bộ Xây dựng, Ủy ban nhân dân cấp tỉnh.</w:t>
            </w:r>
          </w:p>
        </w:tc>
        <w:tc>
          <w:tcPr>
            <w:tcW w:w="3969" w:type="dxa"/>
          </w:tcPr>
          <w:p w:rsidR="001D3065" w:rsidRPr="00C94812" w:rsidRDefault="001D3065" w:rsidP="00C84E96">
            <w:pPr>
              <w:spacing w:after="0" w:line="240" w:lineRule="auto"/>
              <w:rPr>
                <w:rFonts w:eastAsia="Times New Roman" w:cs="Times New Roman"/>
                <w:color w:val="000000"/>
                <w:kern w:val="0"/>
                <w:sz w:val="20"/>
                <w:szCs w:val="20"/>
                <w:lang w:val="vi-VN" w:eastAsia="vi-VN"/>
              </w:rPr>
            </w:pPr>
            <w:r w:rsidRPr="00C94812">
              <w:rPr>
                <w:rFonts w:eastAsia="Times New Roman" w:cs="Times New Roman"/>
                <w:color w:val="000000"/>
                <w:kern w:val="0"/>
                <w:sz w:val="20"/>
                <w:szCs w:val="20"/>
                <w:lang w:val="vi-VN" w:eastAsia="vi-VN"/>
              </w:rPr>
              <w:t>Tiếp tục nghiên cứu, xem xét báo cáo cấp có thẩm quyền.</w:t>
            </w:r>
          </w:p>
        </w:tc>
        <w:tc>
          <w:tcPr>
            <w:tcW w:w="2693" w:type="dxa"/>
          </w:tcPr>
          <w:p w:rsidR="001D3065" w:rsidRPr="00C94812" w:rsidRDefault="001D3065" w:rsidP="00C84E96">
            <w:pPr>
              <w:spacing w:after="0" w:line="240" w:lineRule="exact"/>
              <w:rPr>
                <w:rFonts w:cs="Times New Roman"/>
                <w:color w:val="000000" w:themeColor="text1"/>
                <w:sz w:val="20"/>
                <w:szCs w:val="20"/>
              </w:rPr>
            </w:pPr>
            <w:r w:rsidRPr="00C94812">
              <w:rPr>
                <w:rFonts w:cs="Times New Roman"/>
                <w:color w:val="000000" w:themeColor="text1"/>
                <w:sz w:val="20"/>
                <w:szCs w:val="20"/>
              </w:rPr>
              <w:t>Bộ Nông nghiệp và Môi trường đã có công văn số 9750/BNNMT-KHTC gửi Liên đoàn Thương mại và Công nghiệp Việt Nam (VCCI) để trả lời kiến nghị của doanh nghiệp.</w:t>
            </w:r>
          </w:p>
        </w:tc>
      </w:tr>
      <w:tr w:rsidR="001D3065" w:rsidRPr="00C94812" w:rsidTr="00C84E96">
        <w:trPr>
          <w:trHeight w:val="1585"/>
        </w:trPr>
        <w:tc>
          <w:tcPr>
            <w:tcW w:w="630" w:type="dxa"/>
          </w:tcPr>
          <w:p w:rsidR="001D3065" w:rsidRPr="00C94812" w:rsidRDefault="001D3065" w:rsidP="00C84E96">
            <w:pPr>
              <w:spacing w:after="0" w:line="240" w:lineRule="auto"/>
              <w:jc w:val="center"/>
              <w:rPr>
                <w:rFonts w:eastAsia="Times New Roman" w:cs="Times New Roman"/>
                <w:color w:val="000000"/>
                <w:kern w:val="0"/>
                <w:sz w:val="20"/>
                <w:szCs w:val="20"/>
                <w:lang w:eastAsia="vi-VN"/>
              </w:rPr>
            </w:pPr>
            <w:r w:rsidRPr="00C94812">
              <w:rPr>
                <w:rFonts w:eastAsia="Times New Roman" w:cs="Times New Roman"/>
                <w:color w:val="000000"/>
                <w:kern w:val="0"/>
                <w:sz w:val="20"/>
                <w:szCs w:val="20"/>
                <w:lang w:eastAsia="vi-VN"/>
              </w:rPr>
              <w:t>2</w:t>
            </w:r>
          </w:p>
        </w:tc>
        <w:tc>
          <w:tcPr>
            <w:tcW w:w="1800" w:type="dxa"/>
          </w:tcPr>
          <w:p w:rsidR="001D3065" w:rsidRPr="00C94812" w:rsidRDefault="001D3065" w:rsidP="00C84E96">
            <w:pPr>
              <w:spacing w:after="0" w:line="240" w:lineRule="auto"/>
              <w:rPr>
                <w:rFonts w:eastAsia="Times New Roman" w:cs="Times New Roman"/>
                <w:color w:val="000000"/>
                <w:kern w:val="0"/>
                <w:sz w:val="20"/>
                <w:szCs w:val="20"/>
                <w:lang w:val="vi-VN" w:eastAsia="vi-VN"/>
              </w:rPr>
            </w:pPr>
            <w:r w:rsidRPr="00C94812">
              <w:rPr>
                <w:rFonts w:eastAsia="Times New Roman" w:cs="Times New Roman"/>
                <w:color w:val="000000"/>
                <w:kern w:val="0"/>
                <w:sz w:val="20"/>
                <w:szCs w:val="20"/>
                <w:lang w:val="vi-VN" w:eastAsia="vi-VN"/>
              </w:rPr>
              <w:t>Hiệp Hội Doanh Nghiệp Anh Quốc Tại Việt Nam (BritCham Vietnam)</w:t>
            </w:r>
          </w:p>
        </w:tc>
        <w:tc>
          <w:tcPr>
            <w:tcW w:w="2070" w:type="dxa"/>
          </w:tcPr>
          <w:p w:rsidR="001D3065" w:rsidRPr="00C94812" w:rsidRDefault="001D3065" w:rsidP="00C84E96">
            <w:pPr>
              <w:spacing w:after="0" w:line="240" w:lineRule="auto"/>
              <w:rPr>
                <w:rFonts w:eastAsia="Times New Roman" w:cs="Times New Roman"/>
                <w:bCs/>
                <w:color w:val="000000"/>
                <w:kern w:val="0"/>
                <w:sz w:val="20"/>
                <w:szCs w:val="20"/>
                <w:lang w:val="vi-VN" w:eastAsia="vi-VN"/>
              </w:rPr>
            </w:pPr>
            <w:r w:rsidRPr="00C94812">
              <w:rPr>
                <w:rFonts w:eastAsia="Times New Roman" w:cs="Times New Roman"/>
                <w:bCs/>
                <w:color w:val="000000"/>
                <w:kern w:val="0"/>
                <w:sz w:val="20"/>
                <w:szCs w:val="20"/>
                <w:lang w:val="vi-VN" w:eastAsia="vi-VN"/>
              </w:rPr>
              <w:t>Vướng mắc cấp phép sản phẩm, phân phối chứng chỉ quỹ và sản phẩm Banca của ngân hàng</w:t>
            </w:r>
          </w:p>
        </w:tc>
        <w:tc>
          <w:tcPr>
            <w:tcW w:w="2624" w:type="dxa"/>
          </w:tcPr>
          <w:p w:rsidR="001D3065" w:rsidRPr="00C94812" w:rsidRDefault="001D3065" w:rsidP="00C84E96">
            <w:pPr>
              <w:spacing w:after="0" w:line="240" w:lineRule="auto"/>
              <w:rPr>
                <w:rFonts w:eastAsia="Times New Roman" w:cs="Times New Roman"/>
                <w:color w:val="000000"/>
                <w:kern w:val="0"/>
                <w:sz w:val="20"/>
                <w:szCs w:val="20"/>
                <w:lang w:val="vi-VN" w:eastAsia="vi-VN"/>
              </w:rPr>
            </w:pPr>
            <w:r w:rsidRPr="00C94812">
              <w:rPr>
                <w:rFonts w:eastAsia="Times New Roman" w:cs="Times New Roman"/>
                <w:color w:val="000000"/>
                <w:kern w:val="0"/>
                <w:sz w:val="20"/>
                <w:szCs w:val="20"/>
                <w:lang w:val="vi-VN" w:eastAsia="vi-VN"/>
              </w:rPr>
              <w:t xml:space="preserve">Bãi bỏ yêu cầu xác nhận của cơ quan quản lý nước ngân hàng mẹ, chỉ đánh giá năng lực của chi nhánh tại Việt Nam; cho phép ngân hàng thương mại đủ điều kiện phân phối chứng chỉ quỹ; bổ sung dịch vụ quản lý quỹ, đại lý chuyển nhượng vào Thông tư 34; hướng dẫn thực thi Điều </w:t>
            </w:r>
            <w:r w:rsidRPr="00C94812">
              <w:rPr>
                <w:rFonts w:eastAsia="Times New Roman" w:cs="Times New Roman"/>
                <w:color w:val="000000"/>
                <w:kern w:val="0"/>
                <w:sz w:val="20"/>
                <w:szCs w:val="20"/>
                <w:lang w:val="vi-VN" w:eastAsia="vi-VN"/>
              </w:rPr>
              <w:lastRenderedPageBreak/>
              <w:t>15.5 theo hướng không hạn chế quyền lợi hợp pháp của khách hàng.</w:t>
            </w:r>
          </w:p>
        </w:tc>
        <w:tc>
          <w:tcPr>
            <w:tcW w:w="1559" w:type="dxa"/>
          </w:tcPr>
          <w:p w:rsidR="001D3065" w:rsidRPr="00C94812" w:rsidRDefault="001D3065" w:rsidP="00C84E96">
            <w:pPr>
              <w:spacing w:after="0" w:line="240" w:lineRule="auto"/>
              <w:rPr>
                <w:rFonts w:eastAsia="Times New Roman" w:cs="Times New Roman"/>
                <w:color w:val="000000"/>
                <w:kern w:val="0"/>
                <w:sz w:val="20"/>
                <w:szCs w:val="20"/>
                <w:lang w:val="vi-VN" w:eastAsia="vi-VN"/>
              </w:rPr>
            </w:pPr>
            <w:r w:rsidRPr="00C94812">
              <w:rPr>
                <w:rFonts w:eastAsia="Times New Roman" w:cs="Times New Roman"/>
                <w:color w:val="000000"/>
                <w:kern w:val="0"/>
                <w:sz w:val="20"/>
                <w:szCs w:val="20"/>
                <w:lang w:val="vi-VN" w:eastAsia="vi-VN"/>
              </w:rPr>
              <w:lastRenderedPageBreak/>
              <w:t>Ngân hàng Nhà nước Việt Nam</w:t>
            </w:r>
          </w:p>
        </w:tc>
        <w:tc>
          <w:tcPr>
            <w:tcW w:w="3969" w:type="dxa"/>
          </w:tcPr>
          <w:p w:rsidR="001D3065" w:rsidRPr="00C94812" w:rsidRDefault="001D3065" w:rsidP="00C84E96">
            <w:pPr>
              <w:spacing w:after="0" w:line="240" w:lineRule="auto"/>
              <w:rPr>
                <w:rFonts w:eastAsia="Times New Roman" w:cs="Times New Roman"/>
                <w:color w:val="000000"/>
                <w:kern w:val="0"/>
                <w:sz w:val="20"/>
                <w:szCs w:val="20"/>
                <w:lang w:val="vi-VN" w:eastAsia="vi-VN"/>
              </w:rPr>
            </w:pPr>
            <w:r w:rsidRPr="00C94812">
              <w:rPr>
                <w:rFonts w:eastAsia="Times New Roman" w:cs="Times New Roman"/>
                <w:color w:val="000000"/>
                <w:kern w:val="0"/>
                <w:sz w:val="20"/>
                <w:szCs w:val="20"/>
                <w:lang w:val="vi-VN" w:eastAsia="vi-VN"/>
              </w:rPr>
              <w:t>Tiếp tục nghiên cứu, xem xét báo cáo cấp có thẩm quyền.</w:t>
            </w:r>
          </w:p>
        </w:tc>
        <w:tc>
          <w:tcPr>
            <w:tcW w:w="2693" w:type="dxa"/>
          </w:tcPr>
          <w:p w:rsidR="001D3065" w:rsidRPr="00C94812" w:rsidRDefault="000D5DCC" w:rsidP="00C84E96">
            <w:pPr>
              <w:spacing w:after="0" w:line="240" w:lineRule="auto"/>
              <w:rPr>
                <w:rFonts w:eastAsia="Times New Roman" w:cs="Times New Roman"/>
                <w:color w:val="000000" w:themeColor="text1"/>
                <w:kern w:val="0"/>
                <w:sz w:val="20"/>
                <w:szCs w:val="20"/>
                <w:lang w:eastAsia="vi-VN"/>
              </w:rPr>
            </w:pPr>
            <w:r w:rsidRPr="00C94812">
              <w:rPr>
                <w:rFonts w:ascii="TimesNewRomanPSMT" w:eastAsia="Times New Roman" w:hAnsi="TimesNewRomanPSMT" w:cs="Times New Roman"/>
                <w:color w:val="000000" w:themeColor="text1"/>
                <w:kern w:val="0"/>
                <w:sz w:val="20"/>
                <w:szCs w:val="20"/>
              </w:rPr>
              <w:t>Công văn số 6346/NHNNATHT ngày 17/7/2026 v/v trả lời khó khăn, vướng mắc của VCCI</w:t>
            </w:r>
          </w:p>
        </w:tc>
      </w:tr>
    </w:tbl>
    <w:p w:rsidR="008A0CE2" w:rsidRPr="0070320A" w:rsidRDefault="008A0CE2" w:rsidP="008A0CE2">
      <w:pPr>
        <w:rPr>
          <w:sz w:val="20"/>
          <w:szCs w:val="20"/>
        </w:rPr>
      </w:pPr>
    </w:p>
    <w:p w:rsidR="008A0CE2" w:rsidRPr="0070320A" w:rsidRDefault="008A0CE2" w:rsidP="001D3065">
      <w:pPr>
        <w:rPr>
          <w:sz w:val="20"/>
          <w:szCs w:val="20"/>
        </w:rPr>
      </w:pPr>
      <w:r w:rsidRPr="0070320A">
        <w:rPr>
          <w:sz w:val="20"/>
          <w:szCs w:val="20"/>
        </w:rPr>
        <w:tab/>
      </w:r>
    </w:p>
    <w:p w:rsidR="008A0CE2" w:rsidRPr="0070320A" w:rsidRDefault="008A0CE2" w:rsidP="008A0CE2">
      <w:pPr>
        <w:rPr>
          <w:sz w:val="20"/>
          <w:szCs w:val="20"/>
        </w:rPr>
      </w:pPr>
    </w:p>
    <w:p w:rsidR="008A0CE2" w:rsidRPr="0070320A" w:rsidRDefault="008A0CE2" w:rsidP="008A0CE2">
      <w:pPr>
        <w:rPr>
          <w:sz w:val="20"/>
          <w:szCs w:val="20"/>
        </w:rPr>
      </w:pPr>
    </w:p>
    <w:p w:rsidR="008A0CE2" w:rsidRPr="0070320A" w:rsidRDefault="008A0CE2" w:rsidP="008A0CE2">
      <w:pPr>
        <w:rPr>
          <w:sz w:val="20"/>
          <w:szCs w:val="20"/>
        </w:rPr>
      </w:pPr>
    </w:p>
    <w:p w:rsidR="008A0CE2" w:rsidRPr="0070320A" w:rsidRDefault="008A0CE2" w:rsidP="008A0CE2">
      <w:pPr>
        <w:rPr>
          <w:sz w:val="20"/>
          <w:szCs w:val="20"/>
        </w:rPr>
      </w:pPr>
    </w:p>
    <w:p w:rsidR="00822D29" w:rsidRPr="0070320A" w:rsidRDefault="003723D2">
      <w:pPr>
        <w:rPr>
          <w:sz w:val="20"/>
          <w:szCs w:val="20"/>
        </w:rPr>
      </w:pPr>
    </w:p>
    <w:sectPr w:rsidR="00822D29" w:rsidRPr="0070320A" w:rsidSect="008C2E09">
      <w:pgSz w:w="15840" w:h="12240" w:orient="landscape"/>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 New Roman Bold">
    <w:panose1 w:val="02020803070505020304"/>
    <w:charset w:val="00"/>
    <w:family w:val="auto"/>
    <w:pitch w:val="default"/>
    <w:sig w:usb0="E0000AFF" w:usb1="00007843" w:usb2="00000001" w:usb3="00000000" w:csb0="400001BF" w:csb1="DFF7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A0CE2"/>
    <w:rsid w:val="000D5DCC"/>
    <w:rsid w:val="001A09AB"/>
    <w:rsid w:val="001D3065"/>
    <w:rsid w:val="003723D2"/>
    <w:rsid w:val="004F189C"/>
    <w:rsid w:val="00617657"/>
    <w:rsid w:val="0070320A"/>
    <w:rsid w:val="008A0CE2"/>
    <w:rsid w:val="008D5912"/>
    <w:rsid w:val="00964B13"/>
    <w:rsid w:val="00973982"/>
    <w:rsid w:val="009828AD"/>
    <w:rsid w:val="00A105BE"/>
    <w:rsid w:val="00AB65CE"/>
    <w:rsid w:val="00C94812"/>
    <w:rsid w:val="00CB5A54"/>
    <w:rsid w:val="00CC0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AutoShape 2"/>
      </o:rules>
    </o:shapelayout>
  </w:shapeDefaults>
  <w:decimalSymbol w:val="."/>
  <w:listSeparator w:val=","/>
  <w14:docId w14:val="295B2A31"/>
  <w15:docId w15:val="{E1B0D1D9-06D5-4FF5-956E-EEE9C2C0C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0CE2"/>
    <w:pPr>
      <w:spacing w:after="120"/>
      <w:jc w:val="both"/>
    </w:pPr>
    <w:rPr>
      <w:rFonts w:ascii="Times New Roman" w:hAnsi="Times New Roman"/>
      <w:kern w:val="2"/>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8A0CE2"/>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8A0CE2"/>
    <w:rPr>
      <w:rFonts w:ascii="TimesNewRomanPS-ItalicMT" w:hAnsi="TimesNewRomanPS-ItalicMT" w:hint="default"/>
      <w:b w:val="0"/>
      <w:bCs w:val="0"/>
      <w:i/>
      <w:iCs/>
      <w:color w:val="000000"/>
      <w:sz w:val="28"/>
      <w:szCs w:val="28"/>
    </w:rPr>
  </w:style>
  <w:style w:type="table" w:styleId="TableGrid">
    <w:name w:val="Table Grid"/>
    <w:basedOn w:val="TableNormal"/>
    <w:uiPriority w:val="39"/>
    <w:rsid w:val="008A0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Pages>
  <Words>853</Words>
  <Characters>4866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tavuduyanh</dc:creator>
  <cp:lastModifiedBy>User1</cp:lastModifiedBy>
  <cp:revision>11</cp:revision>
  <dcterms:created xsi:type="dcterms:W3CDTF">2026-08-27T07:17:00Z</dcterms:created>
  <dcterms:modified xsi:type="dcterms:W3CDTF">2026-10-02T08:21:00Z</dcterms:modified>
</cp:coreProperties>
</file>