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6D8F4" w14:textId="77777777" w:rsidR="00626BD0" w:rsidRPr="00D85F22" w:rsidRDefault="00626BD0" w:rsidP="00626BD0">
      <w:pPr>
        <w:spacing w:before="120" w:after="120" w:line="320" w:lineRule="exact"/>
        <w:jc w:val="center"/>
        <w:rPr>
          <w:rFonts w:ascii="Times New Roman" w:eastAsia="Times New Roman" w:hAnsi="Times New Roman" w:cs="Times New Roman"/>
          <w:sz w:val="28"/>
          <w:szCs w:val="28"/>
          <w:lang w:val="en" w:eastAsia="vi-VN"/>
        </w:rPr>
      </w:pPr>
      <w:r w:rsidRPr="00D85F22">
        <w:rPr>
          <w:rFonts w:ascii="Times New Roman" w:eastAsia="Times New Roman" w:hAnsi="Times New Roman" w:cs="Times New Roman"/>
          <w:b/>
          <w:sz w:val="28"/>
          <w:szCs w:val="28"/>
          <w:lang w:val="en" w:eastAsia="vi-VN"/>
        </w:rPr>
        <w:t>BÁO CÁO</w:t>
      </w:r>
      <w:r>
        <w:rPr>
          <w:rFonts w:ascii="Times New Roman" w:eastAsia="Times New Roman" w:hAnsi="Times New Roman" w:cs="Times New Roman"/>
          <w:b/>
          <w:sz w:val="28"/>
          <w:szCs w:val="28"/>
          <w:lang w:val="en" w:eastAsia="vi-VN"/>
        </w:rPr>
        <w:t xml:space="preserve"> TÓM TẮT</w:t>
      </w:r>
    </w:p>
    <w:p w14:paraId="29DDE720" w14:textId="77777777" w:rsidR="00626BD0" w:rsidRPr="00D85F22" w:rsidRDefault="00626BD0" w:rsidP="00626BD0">
      <w:pPr>
        <w:spacing w:before="120" w:after="120" w:line="320" w:lineRule="exact"/>
        <w:jc w:val="center"/>
        <w:rPr>
          <w:rFonts w:ascii="Times New Roman" w:eastAsia="Times New Roman" w:hAnsi="Times New Roman" w:cs="Times New Roman"/>
          <w:sz w:val="28"/>
          <w:szCs w:val="28"/>
          <w:lang w:val="vi-VN" w:eastAsia="vi-VN"/>
        </w:rPr>
      </w:pPr>
      <w:r w:rsidRPr="00D85F22">
        <w:rPr>
          <w:rFonts w:ascii="Times New Roman" w:eastAsia="Times New Roman" w:hAnsi="Times New Roman" w:cs="Times New Roman"/>
          <w:b/>
          <w:sz w:val="28"/>
          <w:szCs w:val="28"/>
          <w:lang w:eastAsia="vi-VN"/>
        </w:rPr>
        <w:t xml:space="preserve">Tình hình </w:t>
      </w:r>
      <w:r w:rsidRPr="00D85F22">
        <w:rPr>
          <w:rFonts w:ascii="Times New Roman" w:eastAsia="Times New Roman" w:hAnsi="Times New Roman" w:cs="Times New Roman"/>
          <w:b/>
          <w:sz w:val="28"/>
          <w:szCs w:val="28"/>
          <w:lang w:val="vi-VN" w:eastAsia="vi-VN"/>
        </w:rPr>
        <w:t>thực hiện các nhiệm vụ phát triển</w:t>
      </w:r>
      <w:r w:rsidRPr="00D85F22">
        <w:rPr>
          <w:rFonts w:ascii="Times New Roman" w:eastAsia="Times New Roman" w:hAnsi="Times New Roman" w:cs="Times New Roman"/>
          <w:b/>
          <w:sz w:val="28"/>
          <w:szCs w:val="28"/>
          <w:lang w:val="en" w:eastAsia="vi-VN"/>
        </w:rPr>
        <w:t xml:space="preserve"> </w:t>
      </w:r>
      <w:r w:rsidRPr="00D85F22">
        <w:rPr>
          <w:rFonts w:ascii="Times New Roman" w:eastAsia="Times New Roman" w:hAnsi="Times New Roman" w:cs="Times New Roman"/>
          <w:b/>
          <w:sz w:val="28"/>
          <w:szCs w:val="28"/>
          <w:lang w:val="vi-VN" w:eastAsia="vi-VN"/>
        </w:rPr>
        <w:t>k</w:t>
      </w:r>
      <w:r w:rsidRPr="00D85F22">
        <w:rPr>
          <w:rFonts w:ascii="Times New Roman" w:eastAsia="Times New Roman" w:hAnsi="Times New Roman" w:cs="Times New Roman"/>
          <w:b/>
          <w:sz w:val="28"/>
          <w:szCs w:val="28"/>
          <w:lang w:val="en" w:eastAsia="vi-VN"/>
        </w:rPr>
        <w:t xml:space="preserve">hoa học, </w:t>
      </w:r>
      <w:r w:rsidRPr="00D85F22">
        <w:rPr>
          <w:rFonts w:ascii="Times New Roman" w:eastAsia="Times New Roman" w:hAnsi="Times New Roman" w:cs="Times New Roman"/>
          <w:b/>
          <w:sz w:val="28"/>
          <w:szCs w:val="28"/>
          <w:lang w:val="vi-VN" w:eastAsia="vi-VN"/>
        </w:rPr>
        <w:t>c</w:t>
      </w:r>
      <w:r w:rsidRPr="00D85F22">
        <w:rPr>
          <w:rFonts w:ascii="Times New Roman" w:eastAsia="Times New Roman" w:hAnsi="Times New Roman" w:cs="Times New Roman"/>
          <w:b/>
          <w:sz w:val="28"/>
          <w:szCs w:val="28"/>
          <w:lang w:val="en" w:eastAsia="vi-VN"/>
        </w:rPr>
        <w:t xml:space="preserve">ông nghệ, </w:t>
      </w:r>
      <w:r w:rsidRPr="00D85F22">
        <w:rPr>
          <w:rFonts w:ascii="Times New Roman" w:eastAsia="Times New Roman" w:hAnsi="Times New Roman" w:cs="Times New Roman"/>
          <w:b/>
          <w:sz w:val="28"/>
          <w:szCs w:val="28"/>
          <w:lang w:val="en" w:eastAsia="vi-VN"/>
        </w:rPr>
        <w:br/>
      </w:r>
      <w:r w:rsidRPr="00D85F22">
        <w:rPr>
          <w:rFonts w:ascii="Times New Roman" w:eastAsia="Times New Roman" w:hAnsi="Times New Roman" w:cs="Times New Roman"/>
          <w:b/>
          <w:sz w:val="28"/>
          <w:szCs w:val="28"/>
          <w:lang w:val="vi-VN" w:eastAsia="vi-VN"/>
        </w:rPr>
        <w:t>đ</w:t>
      </w:r>
      <w:r w:rsidRPr="00D85F22">
        <w:rPr>
          <w:rFonts w:ascii="Times New Roman" w:eastAsia="Times New Roman" w:hAnsi="Times New Roman" w:cs="Times New Roman"/>
          <w:b/>
          <w:sz w:val="28"/>
          <w:szCs w:val="28"/>
          <w:lang w:val="en" w:eastAsia="vi-VN"/>
        </w:rPr>
        <w:t xml:space="preserve">ổi mới sáng tạo và </w:t>
      </w:r>
      <w:r w:rsidRPr="00D85F22">
        <w:rPr>
          <w:rFonts w:ascii="Times New Roman" w:eastAsia="Times New Roman" w:hAnsi="Times New Roman" w:cs="Times New Roman"/>
          <w:b/>
          <w:sz w:val="28"/>
          <w:szCs w:val="28"/>
          <w:lang w:val="vi-VN" w:eastAsia="vi-VN"/>
        </w:rPr>
        <w:t>c</w:t>
      </w:r>
      <w:r w:rsidRPr="00D85F22">
        <w:rPr>
          <w:rFonts w:ascii="Times New Roman" w:eastAsia="Times New Roman" w:hAnsi="Times New Roman" w:cs="Times New Roman"/>
          <w:b/>
          <w:sz w:val="28"/>
          <w:szCs w:val="28"/>
          <w:lang w:val="en" w:eastAsia="vi-VN"/>
        </w:rPr>
        <w:t>huyển đổi số quốc gia</w:t>
      </w:r>
    </w:p>
    <w:p w14:paraId="45772913" w14:textId="55A85B91" w:rsidR="00626BD0" w:rsidRPr="00BF3F5E" w:rsidRDefault="00626BD0" w:rsidP="00626BD0">
      <w:pPr>
        <w:spacing w:before="120" w:after="120"/>
        <w:jc w:val="both"/>
        <w:rPr>
          <w:rFonts w:ascii="Times New Roman" w:hAnsi="Times New Roman" w:cs="Times New Roman"/>
          <w:sz w:val="28"/>
          <w:szCs w:val="28"/>
          <w:lang w:val="vi-VN"/>
        </w:rPr>
      </w:pPr>
      <w:r w:rsidRPr="00BF3F5E">
        <w:rPr>
          <w:rFonts w:ascii="Times New Roman" w:hAnsi="Times New Roman" w:cs="Times New Roman"/>
          <w:sz w:val="28"/>
          <w:szCs w:val="28"/>
          <w:lang w:val="vi-VN"/>
        </w:rPr>
        <w:t xml:space="preserve">Thứ trưởng </w:t>
      </w:r>
      <w:r w:rsidR="00BF3F5E" w:rsidRPr="00BF3F5E">
        <w:rPr>
          <w:rFonts w:ascii="Times New Roman" w:hAnsi="Times New Roman" w:cs="Times New Roman"/>
          <w:sz w:val="28"/>
          <w:szCs w:val="28"/>
          <w:lang w:val="vi-VN"/>
        </w:rPr>
        <w:t>Thường trực Bộ Khoa học và Công nghệ Vũ Hải Quân </w:t>
      </w:r>
      <w:r w:rsidR="00BF3F5E" w:rsidRPr="00BF3F5E">
        <w:rPr>
          <w:rFonts w:ascii="Times New Roman" w:hAnsi="Times New Roman" w:cs="Times New Roman"/>
          <w:sz w:val="28"/>
          <w:szCs w:val="28"/>
          <w:lang w:val="vi-VN"/>
        </w:rPr>
        <w:t xml:space="preserve">báo cáo tại </w:t>
      </w:r>
      <w:r w:rsidR="00BF3F5E" w:rsidRPr="00BF3F5E">
        <w:rPr>
          <w:rFonts w:ascii="Times New Roman" w:eastAsia="Times New Roman" w:hAnsi="Times New Roman" w:cs="Times New Roman"/>
          <w:sz w:val="28"/>
          <w:szCs w:val="28"/>
          <w:lang w:val="vi-VN" w:eastAsia="vi-VN"/>
        </w:rPr>
        <w:t xml:space="preserve">Hội nghị Sơ kết 01 năm triển khai Chương trình hành động của Chính phủ thực hiện Nghị quyết số 57-NQ/TW, 05 năm thực hiện chương trình tổng thể CCHC nhà nước; 04 năm triển khai Đề án </w:t>
      </w:r>
      <w:r w:rsidR="00BF3F5E">
        <w:rPr>
          <w:rFonts w:ascii="Times New Roman" w:eastAsia="Times New Roman" w:hAnsi="Times New Roman" w:cs="Times New Roman"/>
          <w:sz w:val="28"/>
          <w:szCs w:val="28"/>
          <w:lang w:val="vi-VN" w:eastAsia="vi-VN"/>
        </w:rPr>
        <w:t>06:</w:t>
      </w:r>
    </w:p>
    <w:p w14:paraId="5040A49A" w14:textId="446DDAFE" w:rsidR="00626BD0" w:rsidRDefault="00626BD0" w:rsidP="00626BD0">
      <w:pPr>
        <w:spacing w:before="120" w:after="120"/>
        <w:jc w:val="both"/>
        <w:rPr>
          <w:rFonts w:ascii="Times New Roman" w:hAnsi="Times New Roman" w:cs="Times New Roman"/>
          <w:sz w:val="28"/>
          <w:szCs w:val="28"/>
        </w:rPr>
      </w:pPr>
      <w:r w:rsidRPr="00626BD0">
        <w:rPr>
          <w:rFonts w:ascii="Times New Roman" w:hAnsi="Times New Roman" w:cs="Times New Roman"/>
          <w:sz w:val="28"/>
          <w:szCs w:val="28"/>
          <w:lang w:val="vi-VN"/>
        </w:rPr>
        <w:t xml:space="preserve">Báo cáo tập trung vào 4 nội dung chính: Thứ nhất là công tác chỉ đạo, điều hành của Chính phủ. </w:t>
      </w:r>
      <w:r w:rsidRPr="00FE7DF8">
        <w:rPr>
          <w:rFonts w:ascii="Times New Roman" w:hAnsi="Times New Roman" w:cs="Times New Roman"/>
          <w:sz w:val="28"/>
          <w:szCs w:val="28"/>
        </w:rPr>
        <w:t>Thứ hai là kết quả đạt được. Thứ ba là đánh giá, phân tích bài học kinh nghiệm. Thứ tư là đề xuất một số nhiệm vụ trọng tâm trong thời gian tới.</w:t>
      </w:r>
    </w:p>
    <w:p w14:paraId="5AF77E90"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Trước hết, có thể khẳng định, năm 2025 gắn với một dấu mốc quan trọng của ngành khoa học, công nghệ.</w:t>
      </w:r>
      <w:r>
        <w:rPr>
          <w:rFonts w:ascii="Times New Roman" w:hAnsi="Times New Roman" w:cs="Times New Roman"/>
          <w:sz w:val="28"/>
          <w:szCs w:val="28"/>
        </w:rPr>
        <w:t xml:space="preserve"> </w:t>
      </w:r>
      <w:r w:rsidRPr="00FE7DF8">
        <w:rPr>
          <w:rFonts w:ascii="Times New Roman" w:hAnsi="Times New Roman" w:cs="Times New Roman"/>
          <w:sz w:val="28"/>
          <w:szCs w:val="28"/>
        </w:rPr>
        <w:t xml:space="preserve">Đó là việc Bộ Chính trị ban hành Nghị quyết 57 </w:t>
      </w:r>
      <w:r>
        <w:rPr>
          <w:rFonts w:ascii="Times New Roman" w:hAnsi="Times New Roman" w:cs="Times New Roman"/>
          <w:sz w:val="28"/>
          <w:szCs w:val="28"/>
        </w:rPr>
        <w:t>v</w:t>
      </w:r>
      <w:r w:rsidRPr="00FE7DF8">
        <w:rPr>
          <w:rFonts w:ascii="Times New Roman" w:hAnsi="Times New Roman" w:cs="Times New Roman"/>
          <w:sz w:val="28"/>
          <w:szCs w:val="28"/>
        </w:rPr>
        <w:t>à đồng chí Tổng Bí thư Tô Lâm trực tiếp làm Trưởng Ban Chỉ đạo.</w:t>
      </w:r>
    </w:p>
    <w:p w14:paraId="63BF3340"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Điều này thể hiện quyết tâm chính trị của Đảng trong việc xác định khoa học, công nghệ, đổi mới sáng tạo và chuyển đổi số là một đột phá quan trọng hàng đầu, là trụ cột chiến lược phát triển đất nước trong kỷ nguyên mới.</w:t>
      </w:r>
    </w:p>
    <w:p w14:paraId="391E0F64"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Trên cơ sở đó, Quốc hội và Chính phủ đã vào cuộc đồng bộ, nhanh, kịp thời ban hành các nghị quyết quan trọng. Quốc hội đã ban hành Nghị quyết 193; Chính phủ ban hành Nghị quyết 71 để cụ thể hóa chương trình hành động thực hiện Nghị quyết 57, đảm bảo cơ sở pháp lý và tính khả thi trong triển khai.</w:t>
      </w:r>
    </w:p>
    <w:p w14:paraId="514153CE"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Bên cạnh đó, bộ máy chỉ đạo, điều hành được thiết lập đầy đủ và thống nhất, bao gồm: Ban Chỉ đạo Trung ương, Ban Chỉ đạo của Chính phủ, các tổ giúp việc, các tổ công tác chuyên đề đảm bảo điều hành xuyên suốt từ Trung ương đến địa phương.</w:t>
      </w:r>
    </w:p>
    <w:p w14:paraId="5238F5EE"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Trong năm 2025, công tác lãnh đạo, chỉ đạo, điều hành của Chính phủ, của Thủ tướng Chính phủ và Ban Chỉ đạo của Chính phủ được triển khai quyết liệt, đồng bộ, xuyên suốt từ Trung ương đến địa phương, được thực hiện liên tục và trọng tâm, trọng điểm, tạo nền tảng quan trọng để thúc đẩy việc thực hiện hiệu quả các nhiệm vụ về khoa học, công nghệ, đổi mới sáng tạo và chuyển đổi số.</w:t>
      </w:r>
    </w:p>
    <w:p w14:paraId="6E3F7B1B"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Cụ thể, Chính phủ đã ban hành một khối lượng rất lớn các văn bản và tổ chức nhiều hoạt động điều hành trọng tâm, bao gồm 14 chỉ thị, 25 công điện, 40 báo cáo kết luận, 80 văn bản chỉ đạo.</w:t>
      </w:r>
    </w:p>
    <w:p w14:paraId="234B211C" w14:textId="77777777" w:rsidR="00626BD0" w:rsidRDefault="00626BD0" w:rsidP="00626BD0">
      <w:pPr>
        <w:spacing w:before="120" w:after="120"/>
        <w:jc w:val="both"/>
        <w:rPr>
          <w:rFonts w:ascii="Times New Roman" w:hAnsi="Times New Roman" w:cs="Times New Roman"/>
          <w:sz w:val="28"/>
          <w:szCs w:val="28"/>
          <w:lang w:val="vi-VN"/>
        </w:rPr>
      </w:pPr>
      <w:r w:rsidRPr="00FE7DF8">
        <w:rPr>
          <w:rFonts w:ascii="Times New Roman" w:hAnsi="Times New Roman" w:cs="Times New Roman"/>
          <w:sz w:val="28"/>
          <w:szCs w:val="28"/>
        </w:rPr>
        <w:lastRenderedPageBreak/>
        <w:t>Đồng thời tổ chức 5 phiên họp của Ban Chỉ đạo Chính phủ, 30 phiên họp của lãnh đạo Chính phủ tập trung tháo gỡ khó khăn, đôn đốc tiến độ và triển khai, rõ trách nhiệm thực hiện.</w:t>
      </w:r>
    </w:p>
    <w:p w14:paraId="719B7549"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 xml:space="preserve">Tổng số nhiệm vụ được giao cho các bộ, ngành và địa phương đã và đang triển khai lên tới 1.298 nhiệm vụ, cho thấy phạm vi và mức độ chỉ đạo rất rộng, bao trùm nhiều lĩnh </w:t>
      </w:r>
      <w:r>
        <w:rPr>
          <w:rFonts w:ascii="Times New Roman" w:hAnsi="Times New Roman" w:cs="Times New Roman"/>
          <w:sz w:val="28"/>
          <w:szCs w:val="28"/>
          <w:lang w:val="vi-VN"/>
        </w:rPr>
        <w:t>vực.</w:t>
      </w:r>
    </w:p>
    <w:p w14:paraId="4562DF9D"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Trong năm 2025, công tác xây dựng, hoàn thiện thể chế, cơ chế chính sách trong lĩnh vực khoa học, công nghệ, đổi mới sáng tạo và chuyển đổi số được đẩy mạnh với khối lượng và phạm vi rất lớn.</w:t>
      </w:r>
    </w:p>
    <w:p w14:paraId="1462BE3C" w14:textId="37B8BE22" w:rsidR="00626BD0" w:rsidRP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Chính phủ đã trình Quốc hội ban hành 27 dự luật liên quan đến khoa học, công nghệ, đổi mới sáng tạo và chuyển đổi số, cùng nhiều nghị định, thông tư hướng dẫn.</w:t>
      </w:r>
    </w:p>
    <w:p w14:paraId="259E9A20"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Riêng Bộ Khoa học và Công nghệ đã tham mưu xây dựng 10 luật, 20 nghị định và 44 thông tư, thể hiện vai trò nòng cốt trong việc hoàn thiện khung khổ pháp lý với tinh thần kiến tạo để phát triển.</w:t>
      </w:r>
    </w:p>
    <w:p w14:paraId="2B28CE5A" w14:textId="391CEC36" w:rsidR="00626BD0" w:rsidRDefault="00626BD0" w:rsidP="00626BD0">
      <w:pPr>
        <w:spacing w:before="120" w:after="120"/>
        <w:jc w:val="both"/>
        <w:rPr>
          <w:rFonts w:ascii="Times New Roman" w:hAnsi="Times New Roman" w:cs="Times New Roman"/>
          <w:sz w:val="28"/>
          <w:szCs w:val="28"/>
        </w:rPr>
      </w:pPr>
      <w:r w:rsidRPr="00626BD0">
        <w:rPr>
          <w:rFonts w:ascii="Times New Roman" w:hAnsi="Times New Roman" w:cs="Times New Roman"/>
          <w:sz w:val="28"/>
          <w:szCs w:val="28"/>
          <w:lang w:val="vi-VN"/>
        </w:rPr>
        <w:t>Về chuyển đổi số, năm 2020, Việt Nam là một trong những quốc gia sớm ban hành chương trình chuyển đổi số quốc gia, xác định ba trụ cột trọng tâm là chính phủ số, kinh tế số và xã hội số, đặt nền móng cho quá trình chuyển đổi số toàn diện.</w:t>
      </w:r>
      <w:r w:rsidRPr="00626BD0">
        <w:rPr>
          <w:rFonts w:ascii="Times New Roman" w:hAnsi="Times New Roman" w:cs="Times New Roman"/>
          <w:sz w:val="28"/>
          <w:szCs w:val="28"/>
          <w:lang w:val="vi-VN"/>
        </w:rPr>
        <w:br/>
      </w:r>
      <w:r w:rsidRPr="00FE7DF8">
        <w:rPr>
          <w:rFonts w:ascii="Times New Roman" w:hAnsi="Times New Roman" w:cs="Times New Roman"/>
          <w:sz w:val="28"/>
          <w:szCs w:val="28"/>
        </w:rPr>
        <w:t>Bước sang năm 2025, thực hiện Nghị quyết 57, chuyển đổi số tiếp tục được đẩy nhanh hơn với trọng tâm là triển khai kế hoạch 02 của Ban Chỉ đạo Trung ương, của Nghị quyết 71 của Chính phủ theo yêu cầu liên thông, nhanh, hiệu quả, đồng bộ, đáp ứng yêu cầu sắp xếp tổ chức bộ máy của chính quyền địa phương hai cấp.</w:t>
      </w:r>
    </w:p>
    <w:p w14:paraId="57812245"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 xml:space="preserve">Một số kết quả nổi bật trong 5 năm thực hiện công tác chuyển đổi số: Thứ nhất là chỉ số hạ tầng viễn thông hạng 67, tăng 41 bậc. Tốc độ internet hạng 18, tăng 42 bậc. Chính phủ điện tử hạng 71, tăng 15 bậc. An toàn thông tin hạng 17, tăng 8 bậc. </w:t>
      </w:r>
    </w:p>
    <w:p w14:paraId="100C872A" w14:textId="77777777" w:rsidR="00626BD0" w:rsidRDefault="00626BD0" w:rsidP="00626BD0">
      <w:pPr>
        <w:spacing w:before="120" w:after="120"/>
        <w:jc w:val="both"/>
        <w:rPr>
          <w:rFonts w:ascii="Times New Roman" w:hAnsi="Times New Roman" w:cs="Times New Roman"/>
          <w:sz w:val="28"/>
          <w:szCs w:val="28"/>
        </w:rPr>
      </w:pPr>
      <w:r w:rsidRPr="00FE7DF8">
        <w:rPr>
          <w:rFonts w:ascii="Times New Roman" w:hAnsi="Times New Roman" w:cs="Times New Roman"/>
          <w:sz w:val="28"/>
          <w:szCs w:val="28"/>
        </w:rPr>
        <w:t>Kinh tế số tăng trưởng 8,6%, doanh thu từ công nghệ công nghiệp ICT tăng 26%,</w:t>
      </w:r>
      <w:r w:rsidRPr="00FE7DF8">
        <w:rPr>
          <w:rFonts w:ascii="Times New Roman" w:hAnsi="Times New Roman" w:cs="Times New Roman"/>
          <w:sz w:val="28"/>
          <w:szCs w:val="28"/>
        </w:rPr>
        <w:br/>
        <w:t>100% công dân từ 14 tuổi trở lên có căn cước công dân.</w:t>
      </w:r>
      <w:r>
        <w:rPr>
          <w:rFonts w:ascii="Times New Roman" w:hAnsi="Times New Roman" w:cs="Times New Roman"/>
          <w:sz w:val="28"/>
          <w:szCs w:val="28"/>
        </w:rPr>
        <w:t xml:space="preserve"> </w:t>
      </w:r>
      <w:r w:rsidRPr="00FE7DF8">
        <w:rPr>
          <w:rFonts w:ascii="Times New Roman" w:hAnsi="Times New Roman" w:cs="Times New Roman"/>
          <w:sz w:val="28"/>
          <w:szCs w:val="28"/>
        </w:rPr>
        <w:t>Công dân trưởng thành có ký số, chữ ký số đạt 24 triệu, tăng 37 lần.</w:t>
      </w:r>
      <w:r>
        <w:rPr>
          <w:rFonts w:ascii="Times New Roman" w:hAnsi="Times New Roman" w:cs="Times New Roman"/>
          <w:sz w:val="28"/>
          <w:szCs w:val="28"/>
        </w:rPr>
        <w:t xml:space="preserve"> </w:t>
      </w:r>
      <w:r w:rsidRPr="00FE7DF8">
        <w:rPr>
          <w:rFonts w:ascii="Times New Roman" w:hAnsi="Times New Roman" w:cs="Times New Roman"/>
          <w:sz w:val="28"/>
          <w:szCs w:val="28"/>
        </w:rPr>
        <w:t>Chỉ số phát triển con người năm 2025 đạt 0,766, xếp thứ 93/193 quốc gia.</w:t>
      </w:r>
    </w:p>
    <w:p w14:paraId="2A503293" w14:textId="77777777" w:rsidR="00626BD0" w:rsidRDefault="00626BD0" w:rsidP="00626BD0">
      <w:pPr>
        <w:spacing w:before="120" w:after="120"/>
        <w:jc w:val="both"/>
        <w:rPr>
          <w:rFonts w:ascii="Times New Roman" w:hAnsi="Times New Roman" w:cs="Times New Roman"/>
          <w:sz w:val="28"/>
          <w:szCs w:val="28"/>
          <w:lang w:val="vi-VN"/>
        </w:rPr>
      </w:pPr>
      <w:r w:rsidRPr="00FE7DF8">
        <w:rPr>
          <w:rFonts w:ascii="Times New Roman" w:hAnsi="Times New Roman" w:cs="Times New Roman"/>
          <w:sz w:val="28"/>
          <w:szCs w:val="28"/>
        </w:rPr>
        <w:t>Như vậy, có thể khẳng định, sau 5 năm triển khai chuyển đổi số, đặc biệt là năm 2025, Việt Nam đã đạt được những kết quả rõ nét, tạo nền tảng quan trọng cho phát triển kinh tế số, xã hội số trong giai đoạn tới.</w:t>
      </w:r>
    </w:p>
    <w:p w14:paraId="142060D3"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lastRenderedPageBreak/>
        <w:t>Về phát triển khoa học công nghệ, đổi mới sáng tạo, Thủ tướng Chính phủ đã ban hành 11 nhóm công nghệ với 35 sản phẩm, lựa chọn 6 sản phẩm trọng điểm triển khai ngay.</w:t>
      </w:r>
    </w:p>
    <w:p w14:paraId="5B6AF92D" w14:textId="7EB6C828"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 xml:space="preserve">Bộ Khoa học </w:t>
      </w:r>
      <w:r w:rsidR="007A53D8">
        <w:rPr>
          <w:rFonts w:ascii="Times New Roman" w:hAnsi="Times New Roman" w:cs="Times New Roman"/>
          <w:sz w:val="28"/>
          <w:szCs w:val="28"/>
          <w:lang w:val="vi-VN"/>
        </w:rPr>
        <w:t xml:space="preserve">và </w:t>
      </w:r>
      <w:r w:rsidRPr="00626BD0">
        <w:rPr>
          <w:rFonts w:ascii="Times New Roman" w:hAnsi="Times New Roman" w:cs="Times New Roman"/>
          <w:sz w:val="28"/>
          <w:szCs w:val="28"/>
          <w:lang w:val="vi-VN"/>
        </w:rPr>
        <w:t>Công nghệ đã làm việc với các doanh nghiệp, viện, trường, đã chủ động khảo sát mức độ tự chủ về công nghệ lõi, công nghệ chiến lược và tỷ lệ nội địa hóa để tiến hành đặt hàng thực hiện trong năm nay và năm sau.</w:t>
      </w:r>
      <w:r w:rsidRPr="00626BD0">
        <w:rPr>
          <w:rFonts w:ascii="Times New Roman" w:hAnsi="Times New Roman" w:cs="Times New Roman"/>
          <w:sz w:val="28"/>
          <w:szCs w:val="28"/>
          <w:lang w:val="vi-VN"/>
        </w:rPr>
        <w:br/>
        <w:t>Về đổi mới sáng tạo, vị thế Việt Nam xếp hạng 44/139, trong đó chỉ số đổi mới sáng tạo toàn cầu dẫn đầu nhóm thu nhập trung bình thấp.</w:t>
      </w:r>
      <w:r>
        <w:rPr>
          <w:rFonts w:ascii="Times New Roman" w:hAnsi="Times New Roman" w:cs="Times New Roman"/>
          <w:sz w:val="28"/>
          <w:szCs w:val="28"/>
          <w:lang w:val="vi-VN"/>
        </w:rPr>
        <w:t xml:space="preserve"> </w:t>
      </w:r>
      <w:r w:rsidRPr="00626BD0">
        <w:rPr>
          <w:rFonts w:ascii="Times New Roman" w:hAnsi="Times New Roman" w:cs="Times New Roman"/>
          <w:sz w:val="28"/>
          <w:szCs w:val="28"/>
          <w:lang w:val="vi-VN"/>
        </w:rPr>
        <w:t>Hệ sinh thái khởi nghiệp đứng thứ 55 thế giới.</w:t>
      </w:r>
    </w:p>
    <w:p w14:paraId="647BBC9E" w14:textId="0906265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Toàn quốc có khoảng 4.000 doanh nghiệp khởi nghiệp sáng tạo, trong đó có 2 kỳ lân.</w:t>
      </w:r>
      <w:r w:rsidRPr="00626BD0">
        <w:rPr>
          <w:rFonts w:ascii="Times New Roman" w:hAnsi="Times New Roman" w:cs="Times New Roman"/>
          <w:sz w:val="28"/>
          <w:szCs w:val="28"/>
          <w:lang w:val="vi-VN"/>
        </w:rPr>
        <w:br/>
      </w:r>
      <w:r w:rsidRPr="00BF3F5E">
        <w:rPr>
          <w:rFonts w:ascii="Times New Roman" w:hAnsi="Times New Roman" w:cs="Times New Roman"/>
          <w:sz w:val="28"/>
          <w:szCs w:val="28"/>
          <w:lang w:val="vi-VN"/>
        </w:rPr>
        <w:t>Trung tâm Đổi mới sáng tạo Quốc gia (NIC) đang bảo trợ cho 10 mạng lưới tại 22 quốc gia với hàng nghìn chuyên gia ở các lĩnh vực khoa học công nghệ.</w:t>
      </w:r>
      <w:r w:rsidR="00BF3F5E">
        <w:rPr>
          <w:rFonts w:ascii="Times New Roman" w:hAnsi="Times New Roman" w:cs="Times New Roman"/>
          <w:sz w:val="28"/>
          <w:szCs w:val="28"/>
          <w:lang w:val="vi-VN"/>
        </w:rPr>
        <w:t xml:space="preserve"> </w:t>
      </w:r>
      <w:r w:rsidRPr="00BF3F5E">
        <w:rPr>
          <w:rFonts w:ascii="Times New Roman" w:hAnsi="Times New Roman" w:cs="Times New Roman"/>
          <w:sz w:val="28"/>
          <w:szCs w:val="28"/>
          <w:lang w:val="vi-VN"/>
        </w:rPr>
        <w:t xml:space="preserve">Song song đó, các nền tảng hỗ trợ trực tiếp cũng đạt được những bước tiến đột phá. </w:t>
      </w:r>
      <w:r w:rsidRPr="007A53D8">
        <w:rPr>
          <w:rFonts w:ascii="Times New Roman" w:hAnsi="Times New Roman" w:cs="Times New Roman"/>
          <w:sz w:val="28"/>
          <w:szCs w:val="28"/>
          <w:lang w:val="vi-VN"/>
        </w:rPr>
        <w:t>Cổng sáng kiến do Bộ Khoa học</w:t>
      </w:r>
      <w:r w:rsidR="007A53D8">
        <w:rPr>
          <w:rFonts w:ascii="Times New Roman" w:hAnsi="Times New Roman" w:cs="Times New Roman"/>
          <w:sz w:val="28"/>
          <w:szCs w:val="28"/>
          <w:lang w:val="vi-VN"/>
        </w:rPr>
        <w:t xml:space="preserve"> và</w:t>
      </w:r>
      <w:r w:rsidRPr="007A53D8">
        <w:rPr>
          <w:rFonts w:ascii="Times New Roman" w:hAnsi="Times New Roman" w:cs="Times New Roman"/>
          <w:sz w:val="28"/>
          <w:szCs w:val="28"/>
          <w:lang w:val="vi-VN"/>
        </w:rPr>
        <w:t xml:space="preserve"> Công nghệ chủ trì đến tháng 12 năm 2025 đã tiếp nhận được hơn 1.000 sáng kiến, trong đó đã lựa chọn tài trợ cho 309 sáng kiến, bao gồm 22 sáng kiến đột phá và các công nghệ chiến lược.</w:t>
      </w:r>
    </w:p>
    <w:p w14:paraId="7FC1A218"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Sàn giao dịch khoa học, công nghệ đang hoàn thiện mô hình theo tiêu chuẩn quốc tế, tập trung vào 5 nhóm chức năng,</w:t>
      </w:r>
      <w:r>
        <w:rPr>
          <w:rFonts w:ascii="Times New Roman" w:hAnsi="Times New Roman" w:cs="Times New Roman"/>
          <w:sz w:val="28"/>
          <w:szCs w:val="28"/>
          <w:lang w:val="vi-VN"/>
        </w:rPr>
        <w:t xml:space="preserve"> </w:t>
      </w:r>
      <w:r w:rsidRPr="00626BD0">
        <w:rPr>
          <w:rFonts w:ascii="Times New Roman" w:hAnsi="Times New Roman" w:cs="Times New Roman"/>
          <w:sz w:val="28"/>
          <w:szCs w:val="28"/>
          <w:lang w:val="vi-VN"/>
        </w:rPr>
        <w:t>từ gian hàng đến tư vấn, đảm bảo kết nối thông suốt giữa trung ương và địa phương thông qua định danh, xác thực công dân.</w:t>
      </w:r>
    </w:p>
    <w:p w14:paraId="48E1A798"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 xml:space="preserve">Về đô thị thông minh, Chính phủ đã ban hành Nghị định 269 và nhiều văn bản hướng dẫn đôn đốc các địa phương thực hiện đúng lộ trình. </w:t>
      </w:r>
      <w:r w:rsidRPr="00FE7DF8">
        <w:rPr>
          <w:rFonts w:ascii="Times New Roman" w:hAnsi="Times New Roman" w:cs="Times New Roman"/>
          <w:sz w:val="28"/>
          <w:szCs w:val="28"/>
        </w:rPr>
        <w:t>Kết quả là các địa phương trọng điểm như Đà Nẵng, Huế đã vận hành hiệu quả các trung tâm điều hành thông minh.</w:t>
      </w:r>
      <w:r w:rsidRPr="00FE7DF8">
        <w:rPr>
          <w:rFonts w:ascii="Times New Roman" w:hAnsi="Times New Roman" w:cs="Times New Roman"/>
          <w:sz w:val="28"/>
          <w:szCs w:val="28"/>
        </w:rPr>
        <w:br/>
        <w:t>Hà Nội, TPHCM, Hải Phòng đang tiên phong trong các lĩnh vực cốt lõi như giao thông thông minh, chiếu sáng thông minh, cảng thông minh.</w:t>
      </w:r>
    </w:p>
    <w:p w14:paraId="31EEA470"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Nhiều địa phương đã chủ động triển khai chuyển đổi số và đổi mới sáng tạo, hình thành các trung tâm, nền tảng, mô hình phù hợp với điều kiện thực tiễn.</w:t>
      </w:r>
      <w:r w:rsidRPr="00626BD0">
        <w:rPr>
          <w:rFonts w:ascii="Times New Roman" w:hAnsi="Times New Roman" w:cs="Times New Roman"/>
          <w:sz w:val="28"/>
          <w:szCs w:val="28"/>
          <w:lang w:val="vi-VN"/>
        </w:rPr>
        <w:br/>
        <w:t>Điều này cho thấy chủ trương của Đảng đã được cụ thể hóa đến cấp cơ sở, tạo sự lan tỏa trong toàn hệ thống.</w:t>
      </w:r>
    </w:p>
    <w:p w14:paraId="51E7A2B7"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Theo thống kê, các địa phương có tỷ lệ hoàn thành nhiệm vụ đúng hạn cao là Thái Nguyên, Bắc Ninh, Tuyên Quang, Lào Cai, Đồng Tháp.</w:t>
      </w:r>
    </w:p>
    <w:p w14:paraId="24D88084"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lastRenderedPageBreak/>
        <w:t>Quảng Ngãi, Cần Thơ và Lào Cai đã thành lập trung tâm đổi mới sáng tạo. Phú Thọ đã đưa vào sử dụng thí điểm chatbot ứng dụng AI.</w:t>
      </w:r>
    </w:p>
    <w:p w14:paraId="635A7575"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Hà Tĩnh, Cao Bằng, Đồng Nai là những địa phương đứng đầu về việc giải quyết hồ sơ trực tuyến.</w:t>
      </w:r>
    </w:p>
    <w:p w14:paraId="29EC8732"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Bắc Ninh duy trì vị trí đứng đầu cả nước về kết quả xếp hạng chất lượng phục vụ người dân và doanh nghiệp, hoàn thành 100% tiêu chí xanh hóa.</w:t>
      </w:r>
    </w:p>
    <w:p w14:paraId="25FAFDF2" w14:textId="24B0B3C0"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Hà Nội, TPHCM, Hải Phòng, Huế vẫn tiếp tục nằm trong nhóm dẫn đầu cả nước về chỉ số đổi mới sáng tạo.</w:t>
      </w:r>
    </w:p>
    <w:p w14:paraId="06802FBE"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Sự nỗ lực của các bộ, ngành trong thời gian qua cũng đạt được những thành tựu đáng ghi nhận.</w:t>
      </w:r>
    </w:p>
    <w:p w14:paraId="7F5F1CC0"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Bộ Ngoại giao đã xây dựng được cơ sở dữ liệu cho khoảng 5.000 chuyên gia Việt Nam ở nước ngoài, sẵn sàng giới thiệu 100 chuyên gia hàng đầu phục vụ phát triển đất nước.</w:t>
      </w:r>
    </w:p>
    <w:p w14:paraId="2B0879CC" w14:textId="45D2288A"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 xml:space="preserve">Bộ Nông nghiệp và </w:t>
      </w:r>
      <w:r w:rsidR="007A53D8">
        <w:rPr>
          <w:rFonts w:ascii="Times New Roman" w:hAnsi="Times New Roman" w:cs="Times New Roman"/>
          <w:sz w:val="28"/>
          <w:szCs w:val="28"/>
          <w:lang w:val="vi-VN"/>
        </w:rPr>
        <w:t xml:space="preserve">Môi trường </w:t>
      </w:r>
      <w:r w:rsidRPr="00626BD0">
        <w:rPr>
          <w:rFonts w:ascii="Times New Roman" w:hAnsi="Times New Roman" w:cs="Times New Roman"/>
          <w:sz w:val="28"/>
          <w:szCs w:val="28"/>
          <w:lang w:val="vi-VN"/>
        </w:rPr>
        <w:t>đã làm sạch và làm giàu dữ liệu đất đai.</w:t>
      </w:r>
      <w:r w:rsidRPr="00626BD0">
        <w:rPr>
          <w:rFonts w:ascii="Times New Roman" w:hAnsi="Times New Roman" w:cs="Times New Roman"/>
          <w:sz w:val="28"/>
          <w:szCs w:val="28"/>
          <w:lang w:val="vi-VN"/>
        </w:rPr>
        <w:br/>
      </w:r>
      <w:r w:rsidRPr="00FE7DF8">
        <w:rPr>
          <w:rFonts w:ascii="Times New Roman" w:hAnsi="Times New Roman" w:cs="Times New Roman"/>
          <w:sz w:val="28"/>
          <w:szCs w:val="28"/>
        </w:rPr>
        <w:t>Bộ Nội vụ đã vận hành hiệu quả cơ sở dữ liệu cán bộ, công chức, viên chức.</w:t>
      </w:r>
      <w:r w:rsidRPr="00FE7DF8">
        <w:rPr>
          <w:rFonts w:ascii="Times New Roman" w:hAnsi="Times New Roman" w:cs="Times New Roman"/>
          <w:sz w:val="28"/>
          <w:szCs w:val="28"/>
        </w:rPr>
        <w:br/>
        <w:t>Bộ Quốc phòng khẳng định vai trò tự chủ khi làm chủ hoàn toàn chu trình R&amp;D và sản xuất tập trung vào các công nghệ chiến lược.</w:t>
      </w:r>
    </w:p>
    <w:p w14:paraId="2222B6D9"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Bộ Công an đóng vai trò là hạt nhân vận hành trung tâm dữ liệu quốc gia, dẫn dắt quá trình chuyển đổi số liên ngành.</w:t>
      </w:r>
    </w:p>
    <w:p w14:paraId="74E7C33D"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Bộ Giáo dục và Đào tạo thúc đẩy mô hình 3 nhà.</w:t>
      </w:r>
    </w:p>
    <w:p w14:paraId="2AB96D36"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Bộ Tư pháp hoàn thành cơ sở dữ liệu hộ tịch.</w:t>
      </w:r>
    </w:p>
    <w:p w14:paraId="4CA9574C" w14:textId="77777777" w:rsidR="00BF3F5E"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Ngân hàng Nhà nước tiên phong trong việc thực hiện thanh toán không dùng tiền mặt và còn nhiều các thành tích khác.</w:t>
      </w:r>
    </w:p>
    <w:p w14:paraId="3039EF68" w14:textId="40350263"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Đối với doanh nghiệp và trường đại học, đến nay đã có 20 doanh nghiệp đồng hành tham gia phát triển 6 sản phẩm công nghệ chiến lược, điển hình như là: Viettel, VNPT, FPT, VNG, Mobifone, VinMotion…</w:t>
      </w:r>
    </w:p>
    <w:p w14:paraId="3F546404"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Các trường đại học như Đại học Quốc gia Hà Nội, Đại học Quốc gia TPHCM, Đại học Bách Khoa tiên phong triển khai mô hình ba nhà và đào tạo nhân lực chất lượng cao, hình thành trung tâm đổi mới sáng tạo.</w:t>
      </w:r>
    </w:p>
    <w:p w14:paraId="7E534099" w14:textId="2AB78AA0"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lastRenderedPageBreak/>
        <w:t>Sau hơn 1 năm thực hiện Nghị quyết 57, chúng ta đã tổ chức thực hiện nghiêm túc, đồng bộ.</w:t>
      </w:r>
      <w:r w:rsidR="00BF3F5E">
        <w:rPr>
          <w:rFonts w:ascii="Times New Roman" w:hAnsi="Times New Roman" w:cs="Times New Roman"/>
          <w:sz w:val="28"/>
          <w:szCs w:val="28"/>
          <w:lang w:val="vi-VN"/>
        </w:rPr>
        <w:t xml:space="preserve"> </w:t>
      </w:r>
      <w:r w:rsidRPr="00626BD0">
        <w:rPr>
          <w:rFonts w:ascii="Times New Roman" w:hAnsi="Times New Roman" w:cs="Times New Roman"/>
          <w:sz w:val="28"/>
          <w:szCs w:val="28"/>
          <w:lang w:val="vi-VN"/>
        </w:rPr>
        <w:t>Những kết quả đạt được bước đầu tạo nền tảng quan trọng cho giai đoạn triển khai tiếp theo.</w:t>
      </w:r>
    </w:p>
    <w:p w14:paraId="2F55F00C"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 xml:space="preserve">Thực tiễn triển khai cũng cho thấy còn một số vấn đề tồn tại, hạn chế. </w:t>
      </w:r>
      <w:r w:rsidRPr="00FE7DF8">
        <w:rPr>
          <w:rFonts w:ascii="Times New Roman" w:hAnsi="Times New Roman" w:cs="Times New Roman"/>
          <w:sz w:val="28"/>
          <w:szCs w:val="28"/>
        </w:rPr>
        <w:t>Thứ nhất là có độ lệch về thể chế. Do năm 2025 chúng ta tập trung vào việc xây dựng thể chế, cho nên giữa quy định cũ và quy định mới có khoảng giao nhau, tạo nên khoảng trống pháp lý, gây khó khăn trong việc giao, tổ chức thực hiện nhiệm vụ như là việc phân bổ gói ngân sách 25.000 tỷ và tiến độ giải ngân các đề án, dự án, nhiệm vụ khoa học công nghệ, đổi mới sáng tạo.</w:t>
      </w:r>
    </w:p>
    <w:p w14:paraId="2D3276F0"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hai là tiến độ, chất lượng chưa đồng đều. Do thời gian triển khai ngắn, khối lượng nhiệm vụ lớn, yêu cầu cao, dẫn đến mức độ chất lượng và tiến độ hoàn thành nhiệm vụ còn hạn chế, chưa đảm bảo yêu cầu đúng thời gian và chất lượng.</w:t>
      </w:r>
    </w:p>
    <w:p w14:paraId="4F64C879"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ba đó là tính chủ động chưa cao. Lĩnh vực khoa học, công nghệ, đổi mới sáng tạo, chuyển đổi số yêu cầu sự chủ động, sáng tạo, quyết liệt.</w:t>
      </w:r>
    </w:p>
    <w:p w14:paraId="7ACE37C4"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Tuy nhiên, ở một số bộ, ngành, địa phương, nhân sự phụ trách vẫn còn thiếu và chưa có nhiều kinh nghiệm. Vẫn tồn tại tâm lý chờ đợi, phụ thuộc vào hướng dẫn cấp trên trong việc triển khai các nhiệm vụ.</w:t>
      </w:r>
    </w:p>
    <w:p w14:paraId="4BA9FE6B" w14:textId="06FB8948" w:rsidR="00626BD0" w:rsidRP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năm, đó là thủ tục hành chính, tính liên thông, đồng bộ kết nối của các nền tảng dữ liệu, hạ tầng vật lý còn hạn chế, vẫn còn một số địa bàn chưa được phủ sóng hết.</w:t>
      </w:r>
    </w:p>
    <w:p w14:paraId="05928B3D"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Từ những hạn chế trên, chúng tôi đề xuất một số bài học kinh nghiệm rút ra như sau:</w:t>
      </w:r>
      <w:r w:rsidRPr="00626BD0">
        <w:rPr>
          <w:rFonts w:ascii="Times New Roman" w:hAnsi="Times New Roman" w:cs="Times New Roman"/>
          <w:sz w:val="28"/>
          <w:szCs w:val="28"/>
          <w:lang w:val="vi-VN"/>
        </w:rPr>
        <w:br/>
        <w:t>Bài học thứ nhất là sự lãnh đạo, chỉ đạo thống nhất, quyết liệt của Đảng, của Chính phủ, đặc biệt là của Thủ tướng Chính phủ là yếu tố then chốt đảm bảo cho sự thành công, lan tỏa tinh thần đưa nghị quyết của Đảng vào thực tiễn cuộc sống.</w:t>
      </w:r>
    </w:p>
    <w:p w14:paraId="46252B0A"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hai, công tác lãnh đạo, điều hành phải lấy người dân, doanh nghiệp làm trung tâm, hướng tới giá trị thực chất, bền vững.</w:t>
      </w:r>
    </w:p>
    <w:p w14:paraId="6EB253A7"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ba, công tác triển khai phải đồng bộ từ thể chế, hạ tầng, dữ liệu, công nghệ, con người.</w:t>
      </w:r>
    </w:p>
    <w:p w14:paraId="576A6491"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tư, công tác phối hợp liên ngành, liên cấp, gắn trách nhiệm người đứng đầu phải đảm bảo “6 rõ” theo yêu cầu của Thủ tướng.</w:t>
      </w:r>
    </w:p>
    <w:p w14:paraId="611027CB"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năm là việc gắn nhiệm vụ với mục tiêu, tiến độ và kết quả cụ thể giúp nâng cao hiệu quả tổ chức thực hiện và củng cố niềm tin của xã hội.</w:t>
      </w:r>
    </w:p>
    <w:p w14:paraId="5392367F" w14:textId="62AEA581" w:rsidR="00626BD0" w:rsidRP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lastRenderedPageBreak/>
        <w:t>Về nhiệm vụ trọng tâm, từ những vấn đề, từ bài học kinh nghiệm, chúng tôi đề xuất một số nhiệm vụ trọng tâm triển khai trong năm 2026 như sau:</w:t>
      </w:r>
    </w:p>
    <w:p w14:paraId="49D05004"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Một là phải bám sát chỉ đạo và thực hiện hiệu quả những chỉ đạo từ Ban Chỉ đạo Trung ương về việc thực hiện triển khai Nghị quyết 57 của đồng chí Tổng Bí thư, của Tổ giúp việc.</w:t>
      </w:r>
    </w:p>
    <w:p w14:paraId="2CB386CB"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hai là phải quyết liệt chuyển đổi số toàn diện, cung cấp dịch vụ công trực tuyến toàn trình,</w:t>
      </w:r>
      <w:r>
        <w:rPr>
          <w:rFonts w:ascii="Times New Roman" w:hAnsi="Times New Roman" w:cs="Times New Roman"/>
          <w:sz w:val="28"/>
          <w:szCs w:val="28"/>
          <w:lang w:val="vi-VN"/>
        </w:rPr>
        <w:t xml:space="preserve"> </w:t>
      </w:r>
      <w:r w:rsidRPr="00626BD0">
        <w:rPr>
          <w:rFonts w:ascii="Times New Roman" w:hAnsi="Times New Roman" w:cs="Times New Roman"/>
          <w:sz w:val="28"/>
          <w:szCs w:val="28"/>
          <w:lang w:val="vi-VN"/>
        </w:rPr>
        <w:t>lấy người dân, doanh nghiệp làm trung tâm, tăng cường liên thông, chia sẻ dữ liệu, hoàn thành cơ sở dữ liệu quốc gia, cổng thông tin quốc gia, nền tảng số quốc gia và của các bộ, ngành, thúc đẩy phát triển kinh tế số, xã hội số.</w:t>
      </w:r>
    </w:p>
    <w:p w14:paraId="27CFD2B5"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ba là phải triển khai đồng bộ các chương trình, dự án, nhiệm vụ khoa học, công nghệ, đổi mới sáng tạo, hình thành hệ sinh thái doanh nghiệp đổi mới sáng tạo, lan tỏa tinh thần đổi mới sáng tạo đến từng người dân, từng tổ chức, từng doanh nghiệp.</w:t>
      </w:r>
      <w:r w:rsidRPr="00626BD0">
        <w:rPr>
          <w:rFonts w:ascii="Times New Roman" w:hAnsi="Times New Roman" w:cs="Times New Roman"/>
          <w:sz w:val="28"/>
          <w:szCs w:val="28"/>
          <w:lang w:val="vi-VN"/>
        </w:rPr>
        <w:br/>
        <w:t>Hình thành một số doanh nghiệp khởi nghiệp trong lĩnh vực công nghệ chiến lược, thu hút các tập đoàn công nghệ đầu tư vào Việt Nam.</w:t>
      </w:r>
    </w:p>
    <w:p w14:paraId="01080D5E"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ba là tăng cường gắn kết nhà nước, nhà khoa học, nhà trường, nhà doanh nghiệp để thúc đẩy nghiên cứu, ứng dụng và thương mại hóa kết quả nghiên cứu, triển khai đặt hàng, thực hiện các công nghệ chiến lược, xây dựng hệ thống phòng thí nghiệm quốc gia, trung tâm nghiên cứu thử nghiệm quốc gia, thu hút nhân tài từ khắp mọi miền và từ trên thế giới trở về để xây dựng đất nước.</w:t>
      </w:r>
    </w:p>
    <w:p w14:paraId="28A223ED"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Thứ tư là tổ chức hội nghị, hội thảo chuyên đề để chia sẻ mô hình, kinh nghiệm hiệu quả, tăng cường hợp tác trong chuyển đổi số, đổi mới sáng tạo và phát triển khoa học công nghệ kể cả trong nước lẫn thế giới.</w:t>
      </w:r>
    </w:p>
    <w:p w14:paraId="14093C9C" w14:textId="77777777" w:rsid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Cuối cùng đó là phải đẩy mạnh truyền thông chính sách, tạo đồng thuận xã hội và nâng cao trách nhiệm của các cấp, các ngành, doanh nghiệp và người dân.</w:t>
      </w:r>
      <w:r w:rsidRPr="00626BD0">
        <w:rPr>
          <w:rFonts w:ascii="Times New Roman" w:hAnsi="Times New Roman" w:cs="Times New Roman"/>
          <w:sz w:val="28"/>
          <w:szCs w:val="28"/>
          <w:lang w:val="vi-VN"/>
        </w:rPr>
        <w:br/>
        <w:t>Kết quả triển khai Nghị quyết 57 trong năm qua đã tạo nền tảng quan trọng cho giai đoạn phát triển tiếp theo.</w:t>
      </w:r>
    </w:p>
    <w:p w14:paraId="680AB1B7" w14:textId="23D4366B" w:rsidR="00B143EF" w:rsidRPr="00626BD0" w:rsidRDefault="00626BD0" w:rsidP="00626BD0">
      <w:pPr>
        <w:spacing w:before="120" w:after="120"/>
        <w:jc w:val="both"/>
        <w:rPr>
          <w:rFonts w:ascii="Times New Roman" w:hAnsi="Times New Roman" w:cs="Times New Roman"/>
          <w:sz w:val="28"/>
          <w:szCs w:val="28"/>
          <w:lang w:val="vi-VN"/>
        </w:rPr>
      </w:pPr>
      <w:r w:rsidRPr="00626BD0">
        <w:rPr>
          <w:rFonts w:ascii="Times New Roman" w:hAnsi="Times New Roman" w:cs="Times New Roman"/>
          <w:sz w:val="28"/>
          <w:szCs w:val="28"/>
          <w:lang w:val="vi-VN"/>
        </w:rPr>
        <w:t>Với sự chỉ đạo quyết liệt của Chính phủ, của Thủ tướng Chính phủ, với sự vào cuộc đồng bộ của các bộ, ngành, địa phương, khoa học, công nghệ, đổi mới sáng tạo và chuyển đổi số sẽ tiếp tục trở thành động lực then chốt cho sự phát triển nhanh và bền vững của đất nước.</w:t>
      </w:r>
    </w:p>
    <w:sectPr w:rsidR="00B143EF" w:rsidRPr="00626B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6BD0"/>
    <w:rsid w:val="00005E88"/>
    <w:rsid w:val="00162746"/>
    <w:rsid w:val="00221192"/>
    <w:rsid w:val="00523067"/>
    <w:rsid w:val="00540381"/>
    <w:rsid w:val="00626BD0"/>
    <w:rsid w:val="007A53D8"/>
    <w:rsid w:val="00B143EF"/>
    <w:rsid w:val="00BF3F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02760"/>
  <w15:chartTrackingRefBased/>
  <w15:docId w15:val="{872453D9-6718-49CE-AD82-1D103DF48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BD0"/>
  </w:style>
  <w:style w:type="paragraph" w:styleId="Heading1">
    <w:name w:val="heading 1"/>
    <w:basedOn w:val="Normal"/>
    <w:next w:val="Normal"/>
    <w:link w:val="Heading1Char"/>
    <w:uiPriority w:val="9"/>
    <w:qFormat/>
    <w:rsid w:val="00626B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26B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26BD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26BD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26BD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26B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26B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26B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26B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6B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6B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6B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6B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6B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6B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6B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6B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6BD0"/>
    <w:rPr>
      <w:rFonts w:eastAsiaTheme="majorEastAsia" w:cstheme="majorBidi"/>
      <w:color w:val="272727" w:themeColor="text1" w:themeTint="D8"/>
    </w:rPr>
  </w:style>
  <w:style w:type="paragraph" w:styleId="Title">
    <w:name w:val="Title"/>
    <w:basedOn w:val="Normal"/>
    <w:next w:val="Normal"/>
    <w:link w:val="TitleChar"/>
    <w:uiPriority w:val="10"/>
    <w:qFormat/>
    <w:rsid w:val="00626B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6B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6B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26B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6BD0"/>
    <w:pPr>
      <w:spacing w:before="160"/>
      <w:jc w:val="center"/>
    </w:pPr>
    <w:rPr>
      <w:i/>
      <w:iCs/>
      <w:color w:val="404040" w:themeColor="text1" w:themeTint="BF"/>
    </w:rPr>
  </w:style>
  <w:style w:type="character" w:customStyle="1" w:styleId="QuoteChar">
    <w:name w:val="Quote Char"/>
    <w:basedOn w:val="DefaultParagraphFont"/>
    <w:link w:val="Quote"/>
    <w:uiPriority w:val="29"/>
    <w:rsid w:val="00626BD0"/>
    <w:rPr>
      <w:i/>
      <w:iCs/>
      <w:color w:val="404040" w:themeColor="text1" w:themeTint="BF"/>
    </w:rPr>
  </w:style>
  <w:style w:type="paragraph" w:styleId="ListParagraph">
    <w:name w:val="List Paragraph"/>
    <w:basedOn w:val="Normal"/>
    <w:uiPriority w:val="34"/>
    <w:qFormat/>
    <w:rsid w:val="00626BD0"/>
    <w:pPr>
      <w:ind w:left="720"/>
      <w:contextualSpacing/>
    </w:pPr>
  </w:style>
  <w:style w:type="character" w:styleId="IntenseEmphasis">
    <w:name w:val="Intense Emphasis"/>
    <w:basedOn w:val="DefaultParagraphFont"/>
    <w:uiPriority w:val="21"/>
    <w:qFormat/>
    <w:rsid w:val="00626BD0"/>
    <w:rPr>
      <w:i/>
      <w:iCs/>
      <w:color w:val="0F4761" w:themeColor="accent1" w:themeShade="BF"/>
    </w:rPr>
  </w:style>
  <w:style w:type="paragraph" w:styleId="IntenseQuote">
    <w:name w:val="Intense Quote"/>
    <w:basedOn w:val="Normal"/>
    <w:next w:val="Normal"/>
    <w:link w:val="IntenseQuoteChar"/>
    <w:uiPriority w:val="30"/>
    <w:qFormat/>
    <w:rsid w:val="00626B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26BD0"/>
    <w:rPr>
      <w:i/>
      <w:iCs/>
      <w:color w:val="0F4761" w:themeColor="accent1" w:themeShade="BF"/>
    </w:rPr>
  </w:style>
  <w:style w:type="character" w:styleId="IntenseReference">
    <w:name w:val="Intense Reference"/>
    <w:basedOn w:val="DefaultParagraphFont"/>
    <w:uiPriority w:val="32"/>
    <w:qFormat/>
    <w:rsid w:val="00626BD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6</Pages>
  <Words>1869</Words>
  <Characters>10658</Characters>
  <Application>Microsoft Office Word</Application>
  <DocSecurity>0</DocSecurity>
  <Lines>88</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Surface</dc:creator>
  <cp:keywords/>
  <dc:description/>
  <cp:lastModifiedBy>Surface</cp:lastModifiedBy>
  <cp:revision>2</cp:revision>
  <dcterms:created xsi:type="dcterms:W3CDTF">2025-12-18T08:53:00Z</dcterms:created>
  <dcterms:modified xsi:type="dcterms:W3CDTF">2025-12-18T09:21:00Z</dcterms:modified>
</cp:coreProperties>
</file>